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712" w:rsidRPr="000624C3" w:rsidRDefault="00166AE1" w:rsidP="002F6712">
      <w:pPr>
        <w:widowControl w:val="0"/>
        <w:tabs>
          <w:tab w:val="left" w:pos="656"/>
        </w:tabs>
        <w:autoSpaceDE w:val="0"/>
        <w:autoSpaceDN w:val="0"/>
        <w:adjustRightInd w:val="0"/>
        <w:jc w:val="right"/>
        <w:rPr>
          <w:rFonts w:ascii="Tahoma" w:hAnsi="Tahoma" w:cs="Tahoma"/>
          <w:b/>
          <w:bCs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br/>
      </w:r>
      <w:r w:rsidR="002F6712" w:rsidRPr="000624C3">
        <w:rPr>
          <w:rFonts w:ascii="Tahoma" w:hAnsi="Tahoma" w:cs="Tahoma"/>
          <w:b/>
          <w:bCs/>
          <w:sz w:val="22"/>
          <w:lang w:val="pl-PL"/>
        </w:rPr>
        <w:t xml:space="preserve">Załącznik nr </w:t>
      </w:r>
      <w:r w:rsidR="00A22266" w:rsidRPr="000624C3">
        <w:rPr>
          <w:rFonts w:ascii="Tahoma" w:hAnsi="Tahoma" w:cs="Tahoma"/>
          <w:b/>
          <w:bCs/>
          <w:sz w:val="22"/>
          <w:lang w:val="pl-PL"/>
        </w:rPr>
        <w:t>2</w:t>
      </w:r>
      <w:r w:rsidR="002F6712" w:rsidRPr="000624C3">
        <w:rPr>
          <w:rFonts w:ascii="Tahoma" w:hAnsi="Tahoma" w:cs="Tahoma"/>
          <w:b/>
          <w:bCs/>
          <w:sz w:val="22"/>
          <w:lang w:val="pl-PL"/>
        </w:rPr>
        <w:t xml:space="preserve"> do SWZ</w:t>
      </w:r>
    </w:p>
    <w:p w:rsidR="002F6712" w:rsidRPr="000624C3" w:rsidRDefault="002F6712" w:rsidP="002F6712">
      <w:pPr>
        <w:widowControl w:val="0"/>
        <w:autoSpaceDE w:val="0"/>
        <w:autoSpaceDN w:val="0"/>
        <w:adjustRightInd w:val="0"/>
        <w:ind w:left="-225"/>
        <w:rPr>
          <w:rFonts w:ascii="Tahoma" w:hAnsi="Tahoma" w:cs="Tahoma"/>
          <w:b/>
          <w:bCs/>
          <w:sz w:val="22"/>
          <w:lang w:val="pl-PL"/>
        </w:rPr>
      </w:pPr>
    </w:p>
    <w:p w:rsidR="002F6712" w:rsidRPr="000624C3" w:rsidRDefault="002F6712" w:rsidP="002F6712">
      <w:pPr>
        <w:spacing w:after="120"/>
        <w:jc w:val="center"/>
        <w:rPr>
          <w:rFonts w:ascii="Tahoma" w:hAnsi="Tahoma" w:cs="Tahoma"/>
          <w:b/>
          <w:bCs/>
          <w:sz w:val="22"/>
          <w:lang w:val="pl-PL"/>
        </w:rPr>
      </w:pPr>
      <w:r w:rsidRPr="000624C3">
        <w:rPr>
          <w:rFonts w:ascii="Tahoma" w:hAnsi="Tahoma" w:cs="Tahoma"/>
          <w:b/>
          <w:bCs/>
          <w:sz w:val="22"/>
          <w:lang w:val="pl-PL"/>
        </w:rPr>
        <w:t>Projektowane postanowienia umowy w sprawie zamówienia publicznego, które zostaną wprowadzone do treści tej umowy</w:t>
      </w:r>
    </w:p>
    <w:p w:rsidR="002F6712" w:rsidRPr="000624C3" w:rsidRDefault="002F6712" w:rsidP="002F6712">
      <w:pPr>
        <w:jc w:val="center"/>
        <w:rPr>
          <w:rFonts w:ascii="Tahoma" w:hAnsi="Tahoma" w:cs="Tahoma"/>
          <w:b/>
          <w:bCs/>
          <w:sz w:val="22"/>
          <w:lang w:val="pl-PL"/>
        </w:rPr>
      </w:pPr>
      <w:r w:rsidRPr="000624C3">
        <w:rPr>
          <w:rFonts w:ascii="Tahoma" w:hAnsi="Tahoma" w:cs="Tahoma"/>
          <w:b/>
          <w:bCs/>
          <w:sz w:val="22"/>
          <w:lang w:val="pl-PL"/>
        </w:rPr>
        <w:t>UMOWA NR ……………….</w:t>
      </w:r>
    </w:p>
    <w:p w:rsidR="002F6712" w:rsidRPr="000624C3" w:rsidRDefault="002F6712" w:rsidP="002F6712">
      <w:pPr>
        <w:spacing w:line="276" w:lineRule="auto"/>
        <w:jc w:val="both"/>
        <w:rPr>
          <w:rFonts w:ascii="Tahoma" w:hAnsi="Tahoma" w:cs="Tahoma"/>
          <w:sz w:val="22"/>
          <w:lang w:val="pl-PL"/>
        </w:rPr>
      </w:pP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sz w:val="22"/>
          <w:lang w:val="pl-PL"/>
        </w:rPr>
      </w:pPr>
      <w:r w:rsidRPr="000624C3">
        <w:rPr>
          <w:rFonts w:ascii="Tahoma" w:eastAsia="Calibri" w:hAnsi="Tahoma" w:cs="Tahoma"/>
          <w:sz w:val="22"/>
          <w:lang w:val="pl-PL"/>
        </w:rPr>
        <w:t xml:space="preserve">zawarta dnia ............................... 2026 r. w Lubrzy 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sz w:val="22"/>
          <w:lang w:val="pl-PL"/>
        </w:rPr>
      </w:pPr>
      <w:r w:rsidRPr="000624C3">
        <w:rPr>
          <w:rFonts w:ascii="Tahoma" w:eastAsia="Calibri" w:hAnsi="Tahoma" w:cs="Tahoma"/>
          <w:sz w:val="22"/>
          <w:lang w:val="pl-PL"/>
        </w:rPr>
        <w:t xml:space="preserve">pomiędzy: 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b/>
          <w:bCs/>
          <w:sz w:val="22"/>
          <w:lang w:val="pl-PL"/>
        </w:rPr>
      </w:pPr>
      <w:r w:rsidRPr="000624C3">
        <w:rPr>
          <w:rFonts w:ascii="Tahoma" w:eastAsia="Calibri" w:hAnsi="Tahoma" w:cs="Tahoma"/>
          <w:b/>
          <w:bCs/>
          <w:sz w:val="22"/>
          <w:lang w:val="pl-PL"/>
        </w:rPr>
        <w:t>Gminą Lubrza</w:t>
      </w:r>
      <w:r w:rsidRPr="000624C3">
        <w:rPr>
          <w:rFonts w:ascii="Tahoma" w:eastAsia="Calibri" w:hAnsi="Tahoma" w:cs="Tahoma"/>
          <w:sz w:val="22"/>
          <w:lang w:val="pl-PL"/>
        </w:rPr>
        <w:t xml:space="preserve">, Osiedle Szkolne 13, 66-218 Lubrza, NIP: </w:t>
      </w:r>
      <w:r w:rsidRPr="000624C3">
        <w:rPr>
          <w:rFonts w:ascii="Tahoma" w:eastAsia="Calibri" w:hAnsi="Tahoma" w:cs="Tahoma"/>
          <w:b/>
          <w:bCs/>
          <w:sz w:val="22"/>
          <w:lang w:val="pl-PL"/>
        </w:rPr>
        <w:t>927-18-88-775</w:t>
      </w:r>
      <w:r w:rsidRPr="000624C3">
        <w:rPr>
          <w:rFonts w:ascii="Tahoma" w:eastAsia="Calibri" w:hAnsi="Tahoma" w:cs="Tahoma"/>
          <w:sz w:val="22"/>
          <w:lang w:val="pl-PL"/>
        </w:rPr>
        <w:t xml:space="preserve">, REGON </w:t>
      </w:r>
      <w:r w:rsidRPr="000624C3">
        <w:rPr>
          <w:rFonts w:ascii="Tahoma" w:eastAsia="Calibri" w:hAnsi="Tahoma" w:cs="Tahoma"/>
          <w:b/>
          <w:bCs/>
          <w:sz w:val="22"/>
          <w:lang w:val="pl-PL"/>
        </w:rPr>
        <w:t>970770468</w:t>
      </w:r>
      <w:r w:rsidRPr="000624C3">
        <w:rPr>
          <w:rFonts w:ascii="Tahoma" w:eastAsia="Calibri" w:hAnsi="Tahoma" w:cs="Tahoma"/>
          <w:sz w:val="22"/>
          <w:lang w:val="pl-PL"/>
        </w:rPr>
        <w:t>,</w:t>
      </w:r>
      <w:r w:rsidRPr="000624C3">
        <w:rPr>
          <w:rFonts w:ascii="Tahoma" w:eastAsia="Calibri" w:hAnsi="Tahoma" w:cs="Tahoma"/>
          <w:b/>
          <w:bCs/>
          <w:sz w:val="22"/>
          <w:lang w:val="pl-PL"/>
        </w:rPr>
        <w:t xml:space="preserve"> 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sz w:val="22"/>
          <w:lang w:val="pl-PL"/>
        </w:rPr>
      </w:pPr>
      <w:r w:rsidRPr="000624C3">
        <w:rPr>
          <w:rFonts w:ascii="Tahoma" w:eastAsia="Calibri" w:hAnsi="Tahoma" w:cs="Tahoma"/>
          <w:sz w:val="22"/>
          <w:lang w:val="pl-PL"/>
        </w:rPr>
        <w:t xml:space="preserve">reprezentowaną przez: 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b/>
          <w:sz w:val="22"/>
          <w:lang w:val="pl-PL"/>
        </w:rPr>
      </w:pPr>
      <w:r w:rsidRPr="000624C3">
        <w:rPr>
          <w:rFonts w:ascii="Tahoma" w:eastAsia="Calibri" w:hAnsi="Tahoma" w:cs="Tahoma"/>
          <w:b/>
          <w:bCs/>
          <w:sz w:val="22"/>
          <w:lang w:val="pl-PL"/>
        </w:rPr>
        <w:t>Wójta Gminy Lubrza –</w:t>
      </w:r>
      <w:r w:rsidRPr="000624C3">
        <w:rPr>
          <w:rFonts w:ascii="Tahoma" w:eastAsia="Calibri" w:hAnsi="Tahoma" w:cs="Tahoma"/>
          <w:sz w:val="22"/>
          <w:lang w:val="pl-PL"/>
        </w:rPr>
        <w:t xml:space="preserve"> </w:t>
      </w:r>
      <w:r w:rsidRPr="000624C3">
        <w:rPr>
          <w:rFonts w:ascii="Tahoma" w:eastAsia="Calibri" w:hAnsi="Tahoma" w:cs="Tahoma"/>
          <w:b/>
          <w:bCs/>
          <w:sz w:val="22"/>
          <w:lang w:val="pl-PL"/>
        </w:rPr>
        <w:t xml:space="preserve">Ryszarda Skonieczek 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sz w:val="22"/>
          <w:lang w:val="pl-PL"/>
        </w:rPr>
      </w:pPr>
      <w:r w:rsidRPr="000624C3">
        <w:rPr>
          <w:rFonts w:ascii="Tahoma" w:eastAsia="Calibri" w:hAnsi="Tahoma" w:cs="Tahoma"/>
          <w:sz w:val="22"/>
          <w:lang w:val="pl-PL"/>
        </w:rPr>
        <w:t xml:space="preserve">przy kontrasygnacie Skarbnika </w:t>
      </w:r>
      <w:r w:rsidRPr="000624C3">
        <w:rPr>
          <w:rFonts w:ascii="Tahoma" w:eastAsia="Calibri" w:hAnsi="Tahoma" w:cs="Tahoma"/>
          <w:bCs/>
          <w:sz w:val="22"/>
          <w:lang w:val="pl-PL"/>
        </w:rPr>
        <w:t xml:space="preserve">Gminy </w:t>
      </w:r>
      <w:r w:rsidRPr="000624C3">
        <w:rPr>
          <w:rFonts w:ascii="Tahoma" w:eastAsia="Calibri" w:hAnsi="Tahoma" w:cs="Tahoma"/>
          <w:sz w:val="22"/>
          <w:lang w:val="pl-PL"/>
        </w:rPr>
        <w:t xml:space="preserve">– </w:t>
      </w:r>
      <w:r w:rsidRPr="000624C3">
        <w:rPr>
          <w:rFonts w:ascii="Tahoma" w:eastAsia="Calibri" w:hAnsi="Tahoma" w:cs="Tahoma"/>
          <w:b/>
          <w:sz w:val="22"/>
          <w:lang w:val="pl-PL"/>
        </w:rPr>
        <w:t>Anny Osuch</w:t>
      </w:r>
    </w:p>
    <w:p w:rsidR="002F6712" w:rsidRPr="000624C3" w:rsidRDefault="002F6712" w:rsidP="002F6712">
      <w:pPr>
        <w:spacing w:line="276" w:lineRule="auto"/>
        <w:jc w:val="both"/>
        <w:rPr>
          <w:rFonts w:ascii="Tahoma" w:eastAsia="Calibri" w:hAnsi="Tahoma" w:cs="Tahoma"/>
          <w:b/>
          <w:sz w:val="22"/>
          <w:lang w:val="pl-PL"/>
        </w:rPr>
      </w:pPr>
      <w:r w:rsidRPr="000624C3">
        <w:rPr>
          <w:rFonts w:ascii="Tahoma" w:eastAsia="Calibri" w:hAnsi="Tahoma" w:cs="Tahoma"/>
          <w:sz w:val="22"/>
          <w:lang w:val="pl-PL"/>
        </w:rPr>
        <w:t xml:space="preserve">zwanym w dalszej części umowy </w:t>
      </w:r>
      <w:r w:rsidRPr="000624C3">
        <w:rPr>
          <w:rFonts w:ascii="Tahoma" w:eastAsia="Calibri" w:hAnsi="Tahoma" w:cs="Tahoma"/>
          <w:b/>
          <w:sz w:val="22"/>
          <w:lang w:val="pl-PL"/>
        </w:rPr>
        <w:t>„Zamawiającym”</w:t>
      </w:r>
    </w:p>
    <w:p w:rsidR="002F6712" w:rsidRPr="000624C3" w:rsidRDefault="002F6712" w:rsidP="002F6712">
      <w:pPr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 xml:space="preserve">a </w:t>
      </w:r>
    </w:p>
    <w:p w:rsidR="002F6712" w:rsidRPr="000624C3" w:rsidRDefault="002F6712" w:rsidP="002F6712">
      <w:pPr>
        <w:shd w:val="clear" w:color="auto" w:fill="FFFFFF"/>
        <w:spacing w:line="276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(*gdy kontrahentem jest spółka prawa handlowego):</w:t>
      </w:r>
      <w:r w:rsidRPr="000624C3">
        <w:rPr>
          <w:rFonts w:ascii="Tahoma" w:hAnsi="Tahoma" w:cs="Tahoma"/>
          <w:b/>
          <w:bCs/>
          <w:sz w:val="22"/>
          <w:lang w:val="pl-PL"/>
        </w:rPr>
        <w:t xml:space="preserve"> </w:t>
      </w:r>
      <w:r w:rsidRPr="000624C3">
        <w:rPr>
          <w:rFonts w:ascii="Tahoma" w:hAnsi="Tahoma" w:cs="Tahoma"/>
          <w:sz w:val="22"/>
          <w:lang w:val="pl-PL"/>
        </w:rPr>
        <w:t>…………………… z siedzibą przy</w:t>
      </w:r>
      <w:r w:rsidRPr="000624C3">
        <w:rPr>
          <w:rFonts w:ascii="Tahoma" w:hAnsi="Tahoma" w:cs="Tahoma"/>
          <w:b/>
          <w:bCs/>
          <w:sz w:val="22"/>
          <w:lang w:val="pl-PL"/>
        </w:rPr>
        <w:t> </w:t>
      </w:r>
      <w:r w:rsidRPr="000624C3">
        <w:rPr>
          <w:rFonts w:ascii="Tahoma" w:hAnsi="Tahoma" w:cs="Tahoma"/>
          <w:sz w:val="22"/>
          <w:lang w:val="pl-PL"/>
        </w:rPr>
        <w:t>ul. ………………………….., ……………………………….., wpisaną do rejestru przedsiębiorców Krajowego Rejestru Sądowego, prowadzonego przez Sąd …………….., pod numerem KRS: ………………………..,</w:t>
      </w:r>
    </w:p>
    <w:p w:rsidR="002F6712" w:rsidRPr="000624C3" w:rsidRDefault="002F6712" w:rsidP="002F6712">
      <w:pPr>
        <w:shd w:val="clear" w:color="auto" w:fill="FFFFFF"/>
        <w:spacing w:line="276" w:lineRule="auto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NIP </w:t>
      </w:r>
      <w:hyperlink r:id="rId8" w:history="1">
        <w:r w:rsidRPr="000624C3">
          <w:rPr>
            <w:rFonts w:ascii="Tahoma" w:hAnsi="Tahoma" w:cs="Tahoma"/>
            <w:sz w:val="22"/>
            <w:lang w:val="pl-PL"/>
          </w:rPr>
          <w:t>…………………..</w:t>
        </w:r>
      </w:hyperlink>
      <w:r w:rsidRPr="000624C3">
        <w:rPr>
          <w:rFonts w:ascii="Tahoma" w:hAnsi="Tahoma" w:cs="Tahoma"/>
          <w:sz w:val="22"/>
          <w:lang w:val="pl-PL"/>
        </w:rPr>
        <w:t>  REGON ………………………..</w:t>
      </w:r>
    </w:p>
    <w:p w:rsidR="002F6712" w:rsidRPr="000624C3" w:rsidRDefault="002F6712" w:rsidP="002F6712">
      <w:pPr>
        <w:spacing w:line="276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w imieniu, którego działa:</w:t>
      </w:r>
    </w:p>
    <w:p w:rsidR="002F6712" w:rsidRPr="000624C3" w:rsidRDefault="002F6712" w:rsidP="002F6712">
      <w:pPr>
        <w:spacing w:line="276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……………………………………………..</w:t>
      </w:r>
    </w:p>
    <w:p w:rsidR="002F6712" w:rsidRPr="000624C3" w:rsidRDefault="002F6712" w:rsidP="002F6712">
      <w:pPr>
        <w:pStyle w:val="Default"/>
        <w:spacing w:before="120"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0624C3">
        <w:rPr>
          <w:rFonts w:ascii="Tahoma" w:hAnsi="Tahoma" w:cs="Tahoma"/>
          <w:color w:val="auto"/>
          <w:sz w:val="22"/>
          <w:szCs w:val="22"/>
        </w:rPr>
        <w:t>(*gdy kontrahentem jest osoba fizyczna prowadząca działalność gospodarczą): ………………..</w:t>
      </w:r>
      <w:r w:rsidRPr="000624C3">
        <w:rPr>
          <w:rFonts w:ascii="Tahoma" w:hAnsi="Tahoma" w:cs="Tahoma"/>
          <w:b/>
          <w:bCs/>
          <w:color w:val="auto"/>
          <w:sz w:val="22"/>
          <w:szCs w:val="22"/>
        </w:rPr>
        <w:t xml:space="preserve">, </w:t>
      </w:r>
      <w:r w:rsidRPr="000624C3">
        <w:rPr>
          <w:rFonts w:ascii="Tahoma" w:hAnsi="Tahoma" w:cs="Tahoma"/>
          <w:color w:val="auto"/>
          <w:sz w:val="22"/>
          <w:szCs w:val="22"/>
        </w:rPr>
        <w:t xml:space="preserve">prowadzącą/-ym działalność gospodarczą pod nazwą …………………………… </w:t>
      </w:r>
    </w:p>
    <w:p w:rsidR="002F6712" w:rsidRPr="000624C3" w:rsidRDefault="002F6712" w:rsidP="002F6712">
      <w:pPr>
        <w:widowControl w:val="0"/>
        <w:autoSpaceDE w:val="0"/>
        <w:autoSpaceDN w:val="0"/>
        <w:spacing w:line="264" w:lineRule="auto"/>
        <w:outlineLvl w:val="2"/>
        <w:rPr>
          <w:rFonts w:ascii="Tahoma" w:eastAsia="Tahoma" w:hAnsi="Tahoma" w:cs="Tahoma"/>
          <w:b/>
          <w:bCs/>
          <w:sz w:val="22"/>
          <w:lang w:val="pl-PL"/>
        </w:rPr>
      </w:pPr>
    </w:p>
    <w:p w:rsidR="002F6712" w:rsidRPr="000624C3" w:rsidRDefault="002F6712" w:rsidP="002F6712">
      <w:pPr>
        <w:widowControl w:val="0"/>
        <w:autoSpaceDE w:val="0"/>
        <w:autoSpaceDN w:val="0"/>
        <w:spacing w:line="264" w:lineRule="auto"/>
        <w:jc w:val="both"/>
        <w:outlineLvl w:val="2"/>
        <w:rPr>
          <w:rFonts w:ascii="Tahoma" w:eastAsia="Tahoma" w:hAnsi="Tahoma" w:cs="Tahoma"/>
          <w:bCs/>
          <w:sz w:val="22"/>
          <w:lang w:val="pl-PL"/>
        </w:rPr>
      </w:pPr>
    </w:p>
    <w:p w:rsidR="002F6712" w:rsidRPr="000624C3" w:rsidRDefault="002F6712" w:rsidP="002F6712">
      <w:pPr>
        <w:widowControl w:val="0"/>
        <w:autoSpaceDE w:val="0"/>
        <w:autoSpaceDN w:val="0"/>
        <w:spacing w:line="264" w:lineRule="auto"/>
        <w:outlineLvl w:val="2"/>
        <w:rPr>
          <w:rFonts w:ascii="Tahoma" w:eastAsia="Tahoma" w:hAnsi="Tahoma" w:cs="Tahoma"/>
          <w:b/>
          <w:bCs/>
          <w:sz w:val="22"/>
          <w:lang w:val="pl-PL"/>
        </w:rPr>
      </w:pPr>
    </w:p>
    <w:p w:rsidR="002F6712" w:rsidRPr="000624C3" w:rsidRDefault="002F6712" w:rsidP="002F6712">
      <w:pPr>
        <w:spacing w:line="276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W wyniku rozstrzygnięcia postępowania o udzielenie zamówienia publicznego, prowadzonego w trybie podstawowym, na podstawie art. 275 pkt 2 ustawy z dnia 11 września 2019 r. Prawo zamówień publicznych (tj. Dz. U. z 202</w:t>
      </w:r>
      <w:r w:rsidR="00F327C4" w:rsidRPr="000624C3">
        <w:rPr>
          <w:rFonts w:ascii="Tahoma" w:hAnsi="Tahoma" w:cs="Tahoma"/>
          <w:sz w:val="22"/>
          <w:lang w:val="pl-PL"/>
        </w:rPr>
        <w:t>6</w:t>
      </w:r>
      <w:r w:rsidRPr="000624C3">
        <w:rPr>
          <w:rFonts w:ascii="Tahoma" w:hAnsi="Tahoma" w:cs="Tahoma"/>
          <w:sz w:val="22"/>
          <w:lang w:val="pl-PL"/>
        </w:rPr>
        <w:t xml:space="preserve"> r. poz. </w:t>
      </w:r>
      <w:r w:rsidR="00F327C4" w:rsidRPr="000624C3">
        <w:rPr>
          <w:rFonts w:ascii="Tahoma" w:hAnsi="Tahoma" w:cs="Tahoma"/>
          <w:sz w:val="22"/>
          <w:lang w:val="pl-PL"/>
        </w:rPr>
        <w:t>79</w:t>
      </w:r>
      <w:r w:rsidRPr="000624C3">
        <w:rPr>
          <w:rFonts w:ascii="Tahoma" w:hAnsi="Tahoma" w:cs="Tahoma"/>
          <w:sz w:val="22"/>
          <w:lang w:val="pl-PL"/>
        </w:rPr>
        <w:t>3) zwanej dalej „ustawą Pzp”, została zawarta umowa o następującej treści:</w:t>
      </w:r>
    </w:p>
    <w:p w:rsidR="00AD5F2E" w:rsidRPr="000624C3" w:rsidRDefault="00AD5F2E">
      <w:pPr>
        <w:ind w:left="283" w:hanging="283"/>
        <w:rPr>
          <w:rFonts w:ascii="Tahoma" w:hAnsi="Tahoma" w:cs="Tahoma"/>
          <w:sz w:val="22"/>
          <w:lang w:val="pl-PL"/>
        </w:rPr>
      </w:pPr>
    </w:p>
    <w:p w:rsidR="00AD5F2E" w:rsidRPr="000624C3" w:rsidRDefault="00AD5F2E" w:rsidP="00AD5F2E">
      <w:pPr>
        <w:ind w:left="283" w:hanging="283"/>
        <w:jc w:val="center"/>
        <w:rPr>
          <w:rFonts w:ascii="Tahoma" w:hAnsi="Tahoma" w:cs="Tahoma"/>
          <w:b/>
          <w:sz w:val="22"/>
          <w:lang w:val="pl-PL"/>
        </w:rPr>
      </w:pPr>
    </w:p>
    <w:p w:rsidR="00AD5F2E" w:rsidRPr="000624C3" w:rsidRDefault="00AD5F2E" w:rsidP="00AD5F2E">
      <w:pPr>
        <w:ind w:left="283" w:hanging="283"/>
        <w:jc w:val="center"/>
        <w:rPr>
          <w:rFonts w:ascii="Tahoma" w:hAnsi="Tahoma" w:cs="Tahoma"/>
          <w:b/>
          <w:sz w:val="22"/>
          <w:lang w:val="pl-PL"/>
        </w:rPr>
      </w:pPr>
      <w:r w:rsidRPr="000624C3">
        <w:rPr>
          <w:rFonts w:ascii="Tahoma" w:hAnsi="Tahoma" w:cs="Tahoma"/>
          <w:b/>
          <w:sz w:val="22"/>
          <w:lang w:val="pl-PL"/>
        </w:rPr>
        <w:t>§ 1</w:t>
      </w:r>
      <w:r w:rsidRPr="000624C3">
        <w:rPr>
          <w:rFonts w:ascii="Tahoma" w:hAnsi="Tahoma" w:cs="Tahoma"/>
          <w:b/>
          <w:sz w:val="22"/>
          <w:lang w:val="pl-PL"/>
        </w:rPr>
        <w:br/>
        <w:t>Przedmiot Umowy</w:t>
      </w:r>
    </w:p>
    <w:p w:rsidR="00AD5F2E" w:rsidRPr="000624C3" w:rsidRDefault="00AD5F2E">
      <w:pPr>
        <w:ind w:left="283" w:hanging="283"/>
        <w:rPr>
          <w:rFonts w:ascii="Tahoma" w:hAnsi="Tahoma" w:cs="Tahoma"/>
          <w:sz w:val="22"/>
          <w:lang w:val="pl-PL"/>
        </w:rPr>
      </w:pPr>
    </w:p>
    <w:p w:rsidR="00966ADC" w:rsidRPr="000624C3" w:rsidRDefault="00166AE1" w:rsidP="00AD5F2E">
      <w:pPr>
        <w:pStyle w:val="Akapitzlist"/>
        <w:numPr>
          <w:ilvl w:val="0"/>
          <w:numId w:val="11"/>
        </w:numPr>
        <w:ind w:left="284" w:hanging="284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Zamawiający zleca, a Wykonawca zobowiązuje się do wykonania</w:t>
      </w:r>
      <w:r w:rsidR="00AA6525" w:rsidRPr="000624C3">
        <w:rPr>
          <w:rFonts w:ascii="Tahoma" w:hAnsi="Tahoma" w:cs="Tahoma"/>
          <w:sz w:val="22"/>
          <w:lang w:val="pl-PL"/>
        </w:rPr>
        <w:t xml:space="preserve"> zadania pn: </w:t>
      </w:r>
      <w:r w:rsidR="00AA6525" w:rsidRPr="000624C3">
        <w:rPr>
          <w:rFonts w:ascii="Tahoma" w:hAnsi="Tahoma" w:cs="Tahoma"/>
          <w:b/>
          <w:bCs/>
          <w:sz w:val="22"/>
          <w:lang w:val="pl-PL"/>
        </w:rPr>
        <w:t>Opracowanie, wykonanie, publikacja i montaż materiałów promujących gm. Lubrza w zakresie zrównoważonej turystyki w rozwoju gospodarczym</w:t>
      </w:r>
      <w:r w:rsidRPr="000624C3">
        <w:rPr>
          <w:rFonts w:ascii="Tahoma" w:hAnsi="Tahoma" w:cs="Tahoma"/>
          <w:sz w:val="22"/>
          <w:lang w:val="pl-PL"/>
        </w:rPr>
        <w:t>, zgodnie z Umową i dokumentami zamówienia.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2. Przedmiot Umowy obejmuje dwa zadania</w:t>
      </w:r>
      <w:r w:rsidR="00670664">
        <w:rPr>
          <w:rFonts w:ascii="Tahoma" w:hAnsi="Tahoma" w:cs="Tahoma"/>
          <w:sz w:val="22"/>
          <w:lang w:val="pl-PL"/>
        </w:rPr>
        <w:t>.</w:t>
      </w:r>
      <w:r w:rsidRPr="000624C3">
        <w:rPr>
          <w:rFonts w:ascii="Tahoma" w:hAnsi="Tahoma" w:cs="Tahoma"/>
          <w:sz w:val="22"/>
          <w:lang w:val="pl-PL"/>
        </w:rPr>
        <w:t xml:space="preserve"> Wykonawca jest zobowiązany wykonać oba zadania w ramach jednej Umowy: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Zadanie nr 1 – „Lubrza – wspólna przestrzeń turystyczna pogranicza” (projekt nr 77/25), obejmujące w szczególności: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 i wdrożenie identyfikacji promocyjnej, w tym logo promocyjnego;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 i uruchomienie podstrony turystycznej kompatybilnej z serwisem internetowym Gminy Lubrza i spełniającej wymagania dostępności cyfrowej;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 i publikację materiałów promocyjnych w mediach społecznościowych;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produkcję filmu promocyjnego wraz z krótkimi materiałami wideo przeznaczonymi do mediów społecznościowych;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 tekstów, fotografii, map, grafik i tłumaczeń na język niemiecki i angielski;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opracowanie, wykonanie i dostawę materiałów drukowanych, w tym folderów i ekspozytorów;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opracowanie, wykonanie, dostawę oraz ustawienie w terenie witaczy, tablic informacyjnych i historycznych, głównej tablicy turystycznej, banerów tematycznych oraz stelaża do ich prezentacji;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wykonanie wszystkich prac transportowych, montażowych, porządkowych i odtworzeniowych wymaganych do prawidłowego ukończenia zadania.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Zadanie nr 2 – „Lubrzańskie szlaki turystyczne na pograniczu” (projekt nr 79/25), obejmujące wyznaczenie, opracowanie, oznakowanie i wyposażenie pięciu szlaków turystycznych: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</w:rPr>
      </w:pPr>
      <w:r w:rsidRPr="000624C3">
        <w:rPr>
          <w:rFonts w:ascii="Tahoma" w:hAnsi="Tahoma" w:cs="Tahoma"/>
          <w:sz w:val="22"/>
        </w:rPr>
        <w:t>Szlaku Nenufarów;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</w:rPr>
      </w:pPr>
      <w:r w:rsidRPr="000624C3">
        <w:rPr>
          <w:rFonts w:ascii="Tahoma" w:hAnsi="Tahoma" w:cs="Tahoma"/>
          <w:sz w:val="22"/>
        </w:rPr>
        <w:t>Szlaku Spływów Kajakowych;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</w:rPr>
      </w:pPr>
      <w:r w:rsidRPr="000624C3">
        <w:rPr>
          <w:rFonts w:ascii="Tahoma" w:hAnsi="Tahoma" w:cs="Tahoma"/>
          <w:sz w:val="22"/>
        </w:rPr>
        <w:t>Szlaku Młynów Wodnych;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</w:rPr>
      </w:pPr>
      <w:r w:rsidRPr="000624C3">
        <w:rPr>
          <w:rFonts w:ascii="Tahoma" w:hAnsi="Tahoma" w:cs="Tahoma"/>
          <w:sz w:val="22"/>
        </w:rPr>
        <w:t>Szlaku Kopalni Węgla Brunatnego;</w:t>
      </w:r>
    </w:p>
    <w:p w:rsidR="00966ADC" w:rsidRPr="000624C3" w:rsidRDefault="00166AE1" w:rsidP="00AD5F2E">
      <w:pPr>
        <w:pStyle w:val="Listapunktowana2"/>
        <w:spacing w:after="20" w:line="252" w:lineRule="auto"/>
        <w:jc w:val="both"/>
        <w:rPr>
          <w:rFonts w:ascii="Tahoma" w:hAnsi="Tahoma" w:cs="Tahoma"/>
          <w:sz w:val="22"/>
        </w:rPr>
      </w:pPr>
      <w:r w:rsidRPr="000624C3">
        <w:rPr>
          <w:rFonts w:ascii="Tahoma" w:hAnsi="Tahoma" w:cs="Tahoma"/>
          <w:sz w:val="22"/>
        </w:rPr>
        <w:t>Szlaku Bunkrów i Nietoperzy.</w:t>
      </w:r>
      <w:bookmarkStart w:id="0" w:name="_GoBack"/>
      <w:bookmarkEnd w:id="0"/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 ramach Zadania nr 2 Wykonawca wykona w szczególności: wyznaczenie przebiegu szlaków w terenie i na mapach, opracowanie materiałów graficznych i tekstowych w wersjach PL/DE/EN, przygotowanie i druk folderów, wykonanie i ustawienie tablic informacyjnych, znaków i strzałek kierunkowych, wykonanie oznakowania szlaku wodnego, dostawę i montaż ławek oraz odnowienie istniejących tablic – w zakresie i ilościach określonych w OPZ.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Szczegółowy zakres, parametry, ilości, standard wykonania, wymagania materiałowe i funkcjonalne oraz przykładowe rozwiązania określają Opisy Przedmiotu Zamówienia stanowiące Załączniki nr 1 i nr 2 do Umowy.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Przedmiot Umowy obejmuje wszystkie czynności i koszty niezbędne do uzyskania kompletnego, zgodnego z przeznaczeniem rezultatu, w tym prace koncepcyjne, redakcyjne, graficzne, fotograficzne, filmowe, kartograficzne, tłumaczeniowe, drukarskie, produkcyjne, programistyczne, transportowe, montażowe, instalacyjne, porządkowe, uzgodnieniowe oraz przeniesienie praw, licencji i nośników wymaganych do korzystania z rezultatów Umowy.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Materiały i elementy wykonane w ramach obu zadań mają tworzyć spójny wizualnie i funkcjonalnie system informacji i promocji turystycznej Gminy Lubrza.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2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Dokumenty Umowy i zasady interpretacji</w:t>
      </w:r>
    </w:p>
    <w:p w:rsidR="00966ADC" w:rsidRPr="000624C3" w:rsidRDefault="00166AE1">
      <w:pPr>
        <w:ind w:left="283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Integralną część Umowy stanowią, w szczególności: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Opis Przedmiotu Zamówienia dla Zadania nr 1 – „Lubrza – wspólna przestrzeń turystyczna pogranicza”;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2) Opis Przedmiotu Zamówienia dla Zadania nr 2 – „Lubrzańskie szlaki turystyczne na pograniczu”;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Specyfikacja Warunków Zamówienia wraz z wyjaśnieniami i zmianami;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oferta Wykonawcy wraz z formularzem cenowym;</w:t>
      </w:r>
    </w:p>
    <w:p w:rsidR="00966ADC" w:rsidRPr="000624C3" w:rsidRDefault="00166AE1" w:rsidP="00AD5F2E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zatwierdzony harmonogram rzeczowo-terminowy.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W razie rozbieżności pomiędzy dokumentami Strony stosują następującą kolejność pierwszeństwa: Umowa, wyjaśnienia i zmiany dokumentów zamówienia, SWZ, OPZ, oferta Wykonawcy – z zastrzeżeniem, że oferta wiąże Wykonawcę w zakresie zaoferowanych warunków korzystniejszych dla Zamawiającego.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Stwierdzone rozbieżności nie uprawniają Wykonawcy do ograniczenia zakresu świadczenia. Wykonawca niezwłocznie wystąpi do Zamawiającego o wiążącą interpretację przed wykonaniem czynności, której dotyczy rozbieżność.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3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Koncepcje, uzgodnienia i zatwierdzenia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Dla każdej pozycji wymagającej opracowania treści, grafiki, mapy, projektu, scenariusza, filmu, materiału drukowanego, elementu oznakowania albo rozwiązania technicznego Wykonawca sporządzi koncepcję i przedstawi ją Zamawiającemu do zatwierdzenia przed rozpoczęciem produkcji, publikacji, zakupu materiałów lub montażu.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Żaden produkt nie może zostać opublikowany, skierowany do druku lub produkcji, zakupiony ani ustawiony w terenie bez uprzedniego zatwierdzenia przez Zamawiającego jego ostatecznej treści, formy, parametrów i lokalizacji.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Koncepcje będą przekazywane w formacie umożliwiającym ich ocenę, a na żądanie Zamawiającego również w formacie edytowalnym. Wykonawca wyraźnie wskaże elementy pochodzące od osób trzecich oraz warunki ich licencjonowania.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Zamawiający przekaże akceptację albo uwagi, co do zasady, w terminie 5 dni roboczych od otrzymania kompletnego materiału. Brak odpowiedzi nie oznacza akceptacji.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Wykonawca uwzględni uwagi Zamawiającego i przekaże poprawioną wersję, co do zasady, w terminie 3 dni roboczych, chyba że zakres zmian obiektywnie wymaga dłuższego terminu uzgodnionego przez Strony.</w:t>
      </w:r>
    </w:p>
    <w:p w:rsidR="00966ADC" w:rsidRPr="000624C3" w:rsidRDefault="00166AE1" w:rsidP="00AD5F2E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Zatwierdzenie koncepcji lub produktu nie zwalnia Wykonawcy z odpowiedzialności za zgodność z Umową, OPZ, prawem, zasadami wiedzy technicznej, poprawność merytoryczną i językową ani za naruszenie praw osób trzecich.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7. Uzgodnienia operacyjne, zatwierdzenia koncepcji i lokalizacji mogą być dokonywane pocztą elektroniczną przez osoby wskazane w § 18, o ile nie prowadzą do zmiany istotnych postanowień Umowy.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4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Obowiązki Wykonawcy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zobowiązuje się wykonać Umowę z należytą starannością zawodową, zgodnie z aktualną wiedzą techniczną i projektową, przepisami prawa, zasadami bezpieczeństwa, wytycznymi programu dofinansowania oraz wskazówkami Zamawiającego zgodnymi z Umową.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Do obowiązków Wykonawcy należy w szczególności: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wykonanie kompletnej dokumentacji koncepcyjnej, projektowej i produkcyjnej;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2) pozyskanie i legalne wykorzystanie zdjęć, materiałów archiwalnych, map, podkładów kartograficznych, muzyki, nagrań, fontów, grafik i innych elementów chronionych;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weryfikacja merytoryczna i językowa treści oraz zapewnienie poprawnych tłumaczeń na język niemiecki i angielski;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zapewnienie spójności identyfikacji wizualnej we wszystkich kanałach i materiałach;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zapewnienie zgodności podstrony internetowej z obecnym serwisem Gminy i obowiązującymi wymaganiami dostępności cyfrowej;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realizacja zdjęć filmowych, w tym ujęć z drona, zgodnie z przepisami i po uzyskaniu wymaganych zgód;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zapewnienie jakości, trwałości, stabilności i bezpieczeństwa elementów ustawianych w terenie, z uwzględnieniem warunków atmosferycznych oraz sposobu użytkowania;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8) zabezpieczenie terenu prac, ochrona istniejącej infrastruktury i zieleni oraz przywrócenie terenu do stanu nie gorszego niż przed rozpoczęciem prac;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9) bieżące informowanie Zamawiającego o ryzykach dla terminu, jakości lub zgodności realizacji;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10) przekazanie kompletu plików źródłowych i edytowalnych, danych dostępowych, dokumentacji, instrukcji i licencji;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11) sporządzenie dokumentacji fotograficznej każdego elementu ustawionego w terenie, ze wskazaniem lokalizacji;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12) usunięcie wad i usterek stwierdzonych przy odbiorze oraz w okresie gwarancji i rękojmi.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Wykonawca ponosi pełną odpowiedzialność za działania i zaniechania osób, którymi posługuje się przy realizacji Umowy, jak za działania i zaniechania własne.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Wykonawca zapewni, że osoby wykonujące prace specjalistyczne posiadają wymagane kompetencje, uprawnienia i doświadczenie.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Wykonawca nie może wykorzystywać nazw, znaków, materiałów ani rezultatów projektu do własnej promocji bez uprzedniej zgody Zamawiającego, z wyjątkiem obowiązków wynikających z prawa.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5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Obowiązki Zamawiającego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Zamawiający zobowiązuje się współdziałać z Wykonawcą w zakresie niezbędnym do należytej realizacji Umowy.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Do obowiązków Zamawiającego należy w szczególności: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przekazanie posiadanych materiałów źródłowych, logotypów i wytycznych dotyczących oznakowania projektu;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wskazanie i uzgodnienie lokalizacji elementów ustawianych w terenie;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zapewnienie prawa do dysponowania wskazanymi lokalizacjami oraz uzyskanie zgód właścicieli lub zarządców, jeżeli z uwagi na status Zamawiającego tylko on może o takie zgody wystąpić;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zapewnienie dostępu do serwisu internetowego i kanałów komunikacji w zakresie potrzebnym do wdrożenia zatwierdzonych materiałów;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terminowe dokonywanie uzgodnień i zatwierdzeń;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udział w odbiorach i zapłata prawidłowo wystawionych faktur.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3. Wykonawca przygotuje, na żądanie Zamawiającego, dokumenty i materiały techniczne wymagane do uzyskania zgód, zezwoleń lub uzgodnień dotyczących montażu i ustawienia elementów w terenie.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6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Termin realizacji i harmonogram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 xml:space="preserve">1. Wykonawca zrealizuje cały przedmiot Umowy </w:t>
      </w:r>
      <w:r w:rsidR="00F64BA6" w:rsidRPr="000624C3">
        <w:rPr>
          <w:rFonts w:ascii="Tahoma" w:hAnsi="Tahoma" w:cs="Tahoma"/>
          <w:sz w:val="22"/>
          <w:lang w:val="pl-PL"/>
        </w:rPr>
        <w:t xml:space="preserve">w terminie do 100 dni kalendarzowych od dnia zawarcia umowy, nie później niż do </w:t>
      </w:r>
      <w:r w:rsidRPr="000624C3">
        <w:rPr>
          <w:rFonts w:ascii="Tahoma" w:hAnsi="Tahoma" w:cs="Tahoma"/>
          <w:sz w:val="22"/>
          <w:lang w:val="pl-PL"/>
        </w:rPr>
        <w:t>dnia 14 grudnia 2026 r. Wskazanie daty końcowej wynika z harmonogramu i zasad finansowania projektu współfinansowanego ze środków Programu Współpracy Interreg VI A Brandenburgia–Polska 2021–2027.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Termin, o którym mowa w ust. 1, obejmuje wykonanie obu zadań, przeprowadzenie odbiorów, usunięcie wad ujawnionych przy odbiorze oraz przekazanie wszystkich dokumentów, plików, praw i danych dostępowych wymaganych Umową.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 terminie 7 dni od zawarcia Umowy Wykonawca przedłoży Zamawiającemu szczegółowy harmonogram rzeczowo-terminowy obejmujący co najmniej: opracowanie koncepcji, uzgodnienia, produkcję, druk, wdrożenia cyfrowe, dostawy, montaż, odbiory częściowe oraz termin na usuwanie wad.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Harmonogram wymaga zatwierdzenia przez Zamawiającego. Jego zmiana nie może prowadzić do przekroczenia terminu końcowego bez zmiany Umowy dokonanej zgodnie z § 15.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Wykonawca niezwłocznie, nie później niż w terminie 2 dni roboczych od powzięcia informacji, zawiadomi Zamawiającego o zdarzeniu mogącym wpłynąć na termin realizacji, wskazując przyczynę, przewidywane skutki i proponowane działania naprawcze.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7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Odbiory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Odbiorowi podlegają poszczególne produkty, każde z Zadań oraz cały przedmiot Umowy.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Wykonawca zgłasza gotowość do odbioru pocztą elektroniczną, przekazując jednocześnie kompletny wykaz wykonanych świadczeń i dokumentów odbiorowych.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Wraz ze zgłoszeniem do odbioru Wykonawca przekaże – odpowiednio do zakresu – w szczególności: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produkty materialne w wymaganych ilościach i lokalizacjach;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pliki finalne oraz pliki źródłowe i edytowalne, w tym otwarte pliki graficzne, mapy, teksty, materiały filmowe, projektowe i produkcyjne;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dane dostępowe, kopie zapasowe, instrukcje i dokumentację podstrony internetowej;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wykaz wykorzystanych materiałów osób trzecich wraz z podstawą prawną ich wykorzystania;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oświadczenie o posiadaniu praw i braku naruszeń praw osób trzecich;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dokumentację fotograficzną i lokalizacyjną elementów ustawionych w terenie;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dokumenty gwarancyjne, certyfikaty, deklaracje, atesty i instrukcje, jeżeli są wymagane;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8) uporządkowany wykaz rezultatów i nośników przekazanych Zamawiającemu.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Zamawiający dokona sprawdzenia przedmiotu odbioru, co do zasady, w terminie 5 dni roboczych od otrzymania kompletnego zgłoszenia. W przypadku materiałów wymagających dodatkowej weryfikacji Strony mogą uzgodnić dłuższy termin.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Z odbioru sporządza się protokół: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odbioru częściowego produktu – jeżeli Zamawiający uzna to za potrzebne;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2) odbioru Zadania nr 1;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odbioru Zadania nr 2;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odbioru końcowego całego przedmiotu Umowy.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W przypadku stwierdzenia wad lub braków Zamawiający może: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odmówić odbioru – jeżeli wady uniemożliwiają korzystanie z produktu zgodnie z przeznaczeniem, naruszają wymagania OPZ, bezpieczeństwo, oznakowanie projektu lub prawa osób trzecich;</w:t>
      </w:r>
    </w:p>
    <w:p w:rsidR="00966ADC" w:rsidRPr="000624C3" w:rsidRDefault="00166AE1" w:rsidP="008028A1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dokonać odbioru warunkowego i wyznaczyć termin usunięcia wad – jeżeli wady nie uniemożliwiają korzystania z produktu.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7. Wykonawca usunie wady i uzupełni braki w terminie wyznaczonym przez Zamawiającego, nie krótszym niż 3 dni robocze, chyba że charakter wady wymaga innego terminu uzgodnionego przez Strony.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8. Za datę wykonania danego Zadania uznaje się datę podpisania protokołu jego odbioru bez wad istotnych. Za datę wykonania całej Umowy uznaje się datę podpisania protokołu odbioru końcowego.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9. Podpisanie protokołu nie wyłącza odpowiedzialności Wykonawcy za wady ukryte, naruszenia praw osób trzecich ani obowiązków gwarancyjnych i z tytułu rękojmi.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8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Wynagrodzenie i płatności</w:t>
      </w:r>
    </w:p>
    <w:p w:rsidR="00966ADC" w:rsidRPr="000624C3" w:rsidRDefault="00166AE1">
      <w:pPr>
        <w:ind w:left="283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Za należyte wykonanie całego przedmiotu Umowy Wykonawcy przysługuje wynagrodzenie ryczałtowe w wysokości: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2465"/>
        <w:gridCol w:w="2465"/>
        <w:gridCol w:w="2465"/>
      </w:tblGrid>
      <w:tr w:rsidR="000624C3" w:rsidRPr="000624C3" w:rsidTr="008028A1">
        <w:trPr>
          <w:tblHeader/>
          <w:jc w:val="center"/>
        </w:trPr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Zakres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Kwota netto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VAT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Kwota brutto</w:t>
            </w:r>
          </w:p>
        </w:tc>
      </w:tr>
      <w:tr w:rsidR="000624C3" w:rsidRPr="000624C3">
        <w:trPr>
          <w:jc w:val="center"/>
        </w:trPr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sz w:val="22"/>
              </w:rPr>
              <w:t>Zadanie nr 1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…………………...</w:t>
            </w:r>
            <w:r w:rsidR="00166AE1" w:rsidRPr="000624C3">
              <w:rPr>
                <w:rFonts w:ascii="Tahoma" w:hAnsi="Tahoma" w:cs="Tahoma"/>
                <w:sz w:val="22"/>
                <w:lang w:val="pl-PL"/>
              </w:rPr>
              <w:t xml:space="preserve"> zł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 w:rsidP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………...</w:t>
            </w:r>
            <w:r w:rsidR="00166AE1" w:rsidRPr="000624C3">
              <w:rPr>
                <w:rFonts w:ascii="Tahoma" w:hAnsi="Tahoma" w:cs="Tahoma"/>
                <w:sz w:val="22"/>
                <w:lang w:val="pl-PL"/>
              </w:rPr>
              <w:t xml:space="preserve"> zł /</w:t>
            </w:r>
            <w:r w:rsidRPr="000624C3">
              <w:rPr>
                <w:rFonts w:ascii="Tahoma" w:hAnsi="Tahoma" w:cs="Tahoma"/>
                <w:sz w:val="22"/>
                <w:lang w:val="pl-PL"/>
              </w:rPr>
              <w:t>….....</w:t>
            </w:r>
            <w:r w:rsidR="00166AE1" w:rsidRPr="000624C3">
              <w:rPr>
                <w:rFonts w:ascii="Tahoma" w:hAnsi="Tahoma" w:cs="Tahoma"/>
                <w:sz w:val="22"/>
                <w:lang w:val="pl-PL"/>
              </w:rPr>
              <w:t>%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………………..……</w:t>
            </w:r>
            <w:r w:rsidR="00166AE1" w:rsidRPr="000624C3">
              <w:rPr>
                <w:rFonts w:ascii="Tahoma" w:hAnsi="Tahoma" w:cs="Tahoma"/>
                <w:sz w:val="22"/>
                <w:lang w:val="pl-PL"/>
              </w:rPr>
              <w:t xml:space="preserve"> zł</w:t>
            </w:r>
          </w:p>
        </w:tc>
      </w:tr>
      <w:tr w:rsidR="000624C3" w:rsidRPr="000624C3">
        <w:trPr>
          <w:jc w:val="center"/>
        </w:trPr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Zadanie nr 2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………….……….. zł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 w:rsidP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………... zł /….....%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lang w:val="pl-PL"/>
              </w:rPr>
            </w:pPr>
            <w:r w:rsidRPr="000624C3">
              <w:rPr>
                <w:rFonts w:ascii="Tahoma" w:hAnsi="Tahoma" w:cs="Tahoma"/>
                <w:sz w:val="22"/>
                <w:lang w:val="pl-PL"/>
              </w:rPr>
              <w:t>…………………..… zł</w:t>
            </w:r>
          </w:p>
        </w:tc>
      </w:tr>
      <w:tr w:rsidR="000624C3" w:rsidRPr="000624C3">
        <w:trPr>
          <w:jc w:val="center"/>
        </w:trPr>
        <w:tc>
          <w:tcPr>
            <w:tcW w:w="2465" w:type="dxa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166AE1">
            <w:pPr>
              <w:spacing w:after="0" w:line="240" w:lineRule="auto"/>
              <w:rPr>
                <w:rFonts w:ascii="Tahoma" w:hAnsi="Tahoma" w:cs="Tahoma"/>
                <w:sz w:val="22"/>
                <w:highlight w:val="lightGray"/>
                <w:lang w:val="pl-PL"/>
              </w:rPr>
            </w:pPr>
            <w:r w:rsidRPr="000624C3">
              <w:rPr>
                <w:rFonts w:ascii="Tahoma" w:hAnsi="Tahoma" w:cs="Tahoma"/>
                <w:b/>
                <w:sz w:val="22"/>
                <w:highlight w:val="lightGray"/>
                <w:lang w:val="pl-PL"/>
              </w:rPr>
              <w:t>Razem</w:t>
            </w:r>
          </w:p>
        </w:tc>
        <w:tc>
          <w:tcPr>
            <w:tcW w:w="2465" w:type="dxa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highlight w:val="lightGray"/>
                <w:lang w:val="pl-PL"/>
              </w:rPr>
            </w:pPr>
            <w:r w:rsidRPr="000624C3">
              <w:rPr>
                <w:rFonts w:ascii="Tahoma" w:hAnsi="Tahoma" w:cs="Tahoma"/>
                <w:b/>
                <w:sz w:val="22"/>
                <w:highlight w:val="lightGray"/>
                <w:lang w:val="pl-PL"/>
              </w:rPr>
              <w:t>……………….. zł</w:t>
            </w:r>
          </w:p>
        </w:tc>
        <w:tc>
          <w:tcPr>
            <w:tcW w:w="2465" w:type="dxa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 w:rsidP="008028A1">
            <w:pPr>
              <w:spacing w:after="0" w:line="240" w:lineRule="auto"/>
              <w:rPr>
                <w:rFonts w:ascii="Tahoma" w:hAnsi="Tahoma" w:cs="Tahoma"/>
                <w:sz w:val="22"/>
                <w:highlight w:val="lightGray"/>
                <w:lang w:val="pl-PL"/>
              </w:rPr>
            </w:pPr>
            <w:r w:rsidRPr="000624C3">
              <w:rPr>
                <w:rFonts w:ascii="Tahoma" w:hAnsi="Tahoma" w:cs="Tahoma"/>
                <w:b/>
                <w:sz w:val="22"/>
                <w:highlight w:val="lightGray"/>
                <w:lang w:val="pl-PL"/>
              </w:rPr>
              <w:t>………. zł /…...%</w:t>
            </w:r>
          </w:p>
        </w:tc>
        <w:tc>
          <w:tcPr>
            <w:tcW w:w="2465" w:type="dxa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966ADC" w:rsidRPr="000624C3" w:rsidRDefault="008028A1">
            <w:pPr>
              <w:spacing w:after="0" w:line="240" w:lineRule="auto"/>
              <w:rPr>
                <w:rFonts w:ascii="Tahoma" w:hAnsi="Tahoma" w:cs="Tahoma"/>
                <w:sz w:val="22"/>
                <w:highlight w:val="lightGray"/>
                <w:lang w:val="pl-PL"/>
              </w:rPr>
            </w:pPr>
            <w:r w:rsidRPr="000624C3">
              <w:rPr>
                <w:rFonts w:ascii="Tahoma" w:hAnsi="Tahoma" w:cs="Tahoma"/>
                <w:b/>
                <w:sz w:val="22"/>
                <w:highlight w:val="lightGray"/>
                <w:lang w:val="pl-PL"/>
              </w:rPr>
              <w:t>………………… zł</w:t>
            </w:r>
          </w:p>
        </w:tc>
      </w:tr>
    </w:tbl>
    <w:p w:rsidR="00966ADC" w:rsidRPr="000624C3" w:rsidRDefault="00966ADC">
      <w:pPr>
        <w:spacing w:after="0"/>
        <w:rPr>
          <w:rFonts w:ascii="Tahoma" w:hAnsi="Tahoma" w:cs="Tahoma"/>
          <w:sz w:val="22"/>
          <w:lang w:val="pl-PL"/>
        </w:rPr>
      </w:pP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Wynagrodzenie ryczałtowe obejmuje wszelkie koszty i ryzyka związane z realizacją Umowy, w tym wynagrodzenie za przeniesienie praw autorskich i praw zależnych, licencje, tłumaczenia, materiały, urządzenia, produkcję, druk, transport, ubezpieczenie przewozu, montaż, prace ziemne i odtworzeniowe, zabezpieczenie terenu, uzgodnienia, podatki i opłaty.</w:t>
      </w:r>
    </w:p>
    <w:p w:rsidR="00966ADC" w:rsidRPr="000624C3" w:rsidRDefault="00166AE1" w:rsidP="008028A1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Niedoszacowanie, pominięcie lub nierozpoznanie przez Wykonawcę zakresu prac nie stanowi podstawy do podwyższenia wynagrodzenia, z zastrzeżeniem zmian dopuszczalnych na podstawie Umowy i przepisów prawa.</w:t>
      </w:r>
    </w:p>
    <w:p w:rsidR="00966ADC" w:rsidRPr="000624C3" w:rsidRDefault="00166AE1">
      <w:pPr>
        <w:ind w:left="283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Rozliczenie nastąpi w dwóch częściach:</w:t>
      </w:r>
    </w:p>
    <w:p w:rsidR="00966ADC" w:rsidRPr="000624C3" w:rsidRDefault="00166AE1">
      <w:pPr>
        <w:ind w:left="652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po odbiorze Zadania nr 1 – do wysokości wynagrodzenia brutto przypisanego temu Zadaniu;</w:t>
      </w:r>
    </w:p>
    <w:p w:rsidR="00966ADC" w:rsidRPr="000624C3" w:rsidRDefault="00166AE1">
      <w:pPr>
        <w:ind w:left="652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po odbiorze Zadania nr 2 – do wysokości wynagrodzenia brutto przypisanego temu Zadaniu.</w:t>
      </w:r>
    </w:p>
    <w:p w:rsidR="00966ADC" w:rsidRPr="000624C3" w:rsidRDefault="00166AE1">
      <w:pPr>
        <w:ind w:left="283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Podstawą wystawienia faktury jest podpisany przez Zamawiającego protokół odbioru danego Zadania bez wad istotnych. Faktura wystawiona przed powstaniem podstawy do jej wystawienia może zostać zwrócona bez księgowania.</w:t>
      </w:r>
    </w:p>
    <w:p w:rsidR="00577EC9" w:rsidRPr="000624C3" w:rsidRDefault="00577EC9" w:rsidP="0083594D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-2" w:hanging="501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 xml:space="preserve">Wykonawca oświadcza, że jest czynnym podatnikiem VAT oraz potwierdza, że nazwa firmy, adres prowadzenia działalności, NIP oraz nr rachunku bankowego podany na fakturze są </w:t>
      </w:r>
      <w:r w:rsidRPr="000624C3">
        <w:rPr>
          <w:rFonts w:ascii="Tahoma" w:eastAsia="Calibri" w:hAnsi="Tahoma" w:cs="Tahoma"/>
          <w:sz w:val="22"/>
          <w:lang w:val="pl-PL" w:eastAsia="pl-PL"/>
        </w:rPr>
        <w:lastRenderedPageBreak/>
        <w:t>zgodne z wykazem podatników VAT prowadzonym przez Szefa Krajowej Administracji Skarbowej.</w:t>
      </w:r>
    </w:p>
    <w:p w:rsidR="00577EC9" w:rsidRPr="000624C3" w:rsidRDefault="00577EC9" w:rsidP="00577EC9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-2" w:hanging="501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Faktury VAT, na których będzie figurował rachunek bankowy spoza „Białej listy”, będą traktowane, jako faktury nieprawidłowe, niepodlegające zapłacie do czasu dokonania stosownych korekt. W przypadku, gdy pomiędzy wystawieniem faktury VAT, a terminem płatności Wykonawca dokona zmiany rachunku bankowego w „Białej liście” i na dzień zapłaty nie dokona on stosownej korekty, taka faktura VAT również będzie uznana za nieprawidłową, co skutkować będzie wstrzymaniem płatności. Żaden z powyższych przypadków nie stanowi opóźnienia uprawniającego Wykonawcę do odsetek ustawowych za opóźnienie lub jakichkolwiek innych.</w:t>
      </w:r>
    </w:p>
    <w:p w:rsidR="00577EC9" w:rsidRPr="000624C3" w:rsidRDefault="00577EC9" w:rsidP="00577EC9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-2" w:hanging="501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Jeżeli w momencie zapłaty przez Zamawiającego numer rachunku bankowego wskazany przez Wykonawcę, podwykonawcę lub dalszego podwykonawcę w fakturze VAT nie jest numerem rachunku bankowego Wykonawcy wskazanym w "Białej liście" podatników VAT, Zamawiający wstrzyma się z płatnością na rzecz Wykonawcy, bez konsekwencji wynikających z niewykonania zobowiązania lub opóźnienia w zapłacie, do momentu, w którym numer rachunku bankowego wskazany w fakturze VAT i tzw. „Białej liście” podatników VAT będą zgodne.</w:t>
      </w:r>
    </w:p>
    <w:p w:rsidR="00577EC9" w:rsidRPr="000624C3" w:rsidRDefault="00577EC9" w:rsidP="00577EC9">
      <w:pPr>
        <w:widowControl w:val="0"/>
        <w:numPr>
          <w:ilvl w:val="0"/>
          <w:numId w:val="13"/>
        </w:numPr>
        <w:autoSpaceDE w:val="0"/>
        <w:autoSpaceDN w:val="0"/>
        <w:spacing w:before="120" w:after="0" w:line="276" w:lineRule="auto"/>
        <w:ind w:left="499" w:hanging="499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W tym miejscu Strony określają dane potrzebne do wystawienia faktury VAT: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567"/>
        <w:jc w:val="both"/>
        <w:rPr>
          <w:rFonts w:ascii="Tahoma" w:eastAsia="Calibri" w:hAnsi="Tahoma" w:cs="Tahoma"/>
          <w:b/>
          <w:sz w:val="22"/>
          <w:u w:val="single"/>
          <w:lang w:val="pl-PL" w:eastAsia="pl-PL"/>
        </w:rPr>
      </w:pPr>
      <w:r w:rsidRPr="000624C3">
        <w:rPr>
          <w:rFonts w:ascii="Tahoma" w:eastAsia="Calibri" w:hAnsi="Tahoma" w:cs="Tahoma"/>
          <w:b/>
          <w:sz w:val="22"/>
          <w:u w:val="single"/>
          <w:lang w:val="pl-PL" w:eastAsia="pl-PL"/>
        </w:rPr>
        <w:t>NABYWCA,</w:t>
      </w:r>
      <w:r w:rsidRPr="000624C3">
        <w:rPr>
          <w:rFonts w:ascii="Tahoma" w:eastAsia="Calibri" w:hAnsi="Tahoma" w:cs="Tahoma"/>
          <w:b/>
          <w:sz w:val="22"/>
          <w:lang w:val="pl-PL" w:eastAsia="pl-PL"/>
        </w:rPr>
        <w:t xml:space="preserve">                                                 </w:t>
      </w:r>
      <w:r w:rsidRPr="000624C3">
        <w:rPr>
          <w:rFonts w:ascii="Tahoma" w:eastAsia="Calibri" w:hAnsi="Tahoma" w:cs="Tahoma"/>
          <w:b/>
          <w:sz w:val="22"/>
          <w:u w:val="single"/>
          <w:lang w:val="pl-PL" w:eastAsia="pl-PL"/>
        </w:rPr>
        <w:t xml:space="preserve">ODBIORCA: 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567"/>
        <w:jc w:val="both"/>
        <w:rPr>
          <w:rFonts w:ascii="Tahoma" w:eastAsia="Calibri" w:hAnsi="Tahoma" w:cs="Tahoma"/>
          <w:b/>
          <w:sz w:val="22"/>
          <w:lang w:val="pl-PL" w:eastAsia="pl-PL"/>
        </w:rPr>
      </w:pPr>
      <w:r w:rsidRPr="000624C3">
        <w:rPr>
          <w:rFonts w:ascii="Tahoma" w:eastAsia="Calibri" w:hAnsi="Tahoma" w:cs="Tahoma"/>
          <w:b/>
          <w:sz w:val="22"/>
          <w:lang w:val="pl-PL" w:eastAsia="pl-PL"/>
        </w:rPr>
        <w:t>Gmina Lubrza                                            Urząd Gminy w Lubrzy</w:t>
      </w:r>
    </w:p>
    <w:p w:rsidR="00577EC9" w:rsidRPr="000624C3" w:rsidRDefault="00577EC9" w:rsidP="00577EC9">
      <w:pPr>
        <w:widowControl w:val="0"/>
        <w:tabs>
          <w:tab w:val="left" w:pos="5670"/>
        </w:tabs>
        <w:autoSpaceDE w:val="0"/>
        <w:autoSpaceDN w:val="0"/>
        <w:spacing w:after="0" w:line="276" w:lineRule="auto"/>
        <w:ind w:right="-2" w:firstLine="567"/>
        <w:jc w:val="both"/>
        <w:rPr>
          <w:rFonts w:ascii="Tahoma" w:eastAsia="Calibri" w:hAnsi="Tahoma" w:cs="Tahoma"/>
          <w:b/>
          <w:sz w:val="22"/>
          <w:lang w:val="pl-PL" w:eastAsia="pl-PL"/>
        </w:rPr>
      </w:pPr>
      <w:r w:rsidRPr="000624C3">
        <w:rPr>
          <w:rFonts w:ascii="Tahoma" w:eastAsia="Calibri" w:hAnsi="Tahoma" w:cs="Tahoma"/>
          <w:b/>
          <w:sz w:val="22"/>
          <w:lang w:val="pl-PL" w:eastAsia="pl-PL"/>
        </w:rPr>
        <w:t>Os. Szkolne 13                                           os. Szkolne 13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567"/>
        <w:jc w:val="both"/>
        <w:rPr>
          <w:rFonts w:ascii="Tahoma" w:eastAsia="Calibri" w:hAnsi="Tahoma" w:cs="Tahoma"/>
          <w:b/>
          <w:sz w:val="22"/>
          <w:lang w:val="pl-PL" w:eastAsia="pl-PL"/>
        </w:rPr>
      </w:pPr>
      <w:r w:rsidRPr="000624C3">
        <w:rPr>
          <w:rFonts w:ascii="Tahoma" w:eastAsia="Calibri" w:hAnsi="Tahoma" w:cs="Tahoma"/>
          <w:b/>
          <w:sz w:val="22"/>
          <w:lang w:val="pl-PL" w:eastAsia="pl-PL"/>
        </w:rPr>
        <w:t>66-218 Lubrza                                           66-218 Lubrza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567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pl-PL" w:eastAsia="pl-PL"/>
        </w:rPr>
        <w:t>927-18-88-775                                          927-14-51-788</w:t>
      </w:r>
    </w:p>
    <w:p w:rsidR="00577EC9" w:rsidRPr="000624C3" w:rsidRDefault="00577EC9" w:rsidP="00577EC9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-2" w:hanging="501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sz w:val="22"/>
          <w:u w:val="single"/>
          <w:lang w:val="x-none" w:eastAsia="pl-PL"/>
        </w:rPr>
        <w:t xml:space="preserve">Od dnia, w którym stosowanie faktur ustrukturyzowanych stanie się dla </w:t>
      </w:r>
      <w:r w:rsidRPr="000624C3">
        <w:rPr>
          <w:rFonts w:ascii="Tahoma" w:eastAsia="Calibri" w:hAnsi="Tahoma" w:cs="Tahoma"/>
          <w:sz w:val="22"/>
          <w:u w:val="single"/>
          <w:lang w:val="pl-PL" w:eastAsia="pl-PL"/>
        </w:rPr>
        <w:t>Wykonawc</w:t>
      </w:r>
      <w:r w:rsidRPr="000624C3">
        <w:rPr>
          <w:rFonts w:ascii="Tahoma" w:eastAsia="Calibri" w:hAnsi="Tahoma" w:cs="Tahoma"/>
          <w:sz w:val="22"/>
          <w:u w:val="single"/>
          <w:lang w:val="x-none" w:eastAsia="pl-PL"/>
        </w:rPr>
        <w:t>y obowiązkowe, faktury będą wystawiane i doręczane przy użyciu Krajowego Systemu e-Faktur (dalej „KSeF”) z uwzględnieniem postanowień określonych poniżej.</w:t>
      </w:r>
      <w:r w:rsidRPr="000624C3">
        <w:rPr>
          <w:rFonts w:ascii="Tahoma" w:eastAsia="Calibri" w:hAnsi="Tahoma" w:cs="Tahoma"/>
          <w:sz w:val="22"/>
          <w:lang w:val="x-none" w:eastAsia="pl-PL"/>
        </w:rPr>
        <w:t xml:space="preserve"> Zapłata wynagrodzenia przez </w:t>
      </w:r>
      <w:r w:rsidRPr="000624C3">
        <w:rPr>
          <w:rFonts w:ascii="Tahoma" w:eastAsia="Calibri" w:hAnsi="Tahoma" w:cs="Tahoma"/>
          <w:sz w:val="22"/>
          <w:lang w:val="pl-PL" w:eastAsia="pl-PL"/>
        </w:rPr>
        <w:t>Zamawiającego</w:t>
      </w:r>
      <w:r w:rsidRPr="000624C3">
        <w:rPr>
          <w:rFonts w:ascii="Tahoma" w:eastAsia="Calibri" w:hAnsi="Tahoma" w:cs="Tahoma"/>
          <w:sz w:val="22"/>
          <w:lang w:val="x-none" w:eastAsia="pl-PL"/>
        </w:rPr>
        <w:t xml:space="preserve"> na rzecz </w:t>
      </w:r>
      <w:r w:rsidRPr="000624C3">
        <w:rPr>
          <w:rFonts w:ascii="Tahoma" w:eastAsia="Calibri" w:hAnsi="Tahoma" w:cs="Tahoma"/>
          <w:sz w:val="22"/>
          <w:lang w:val="pl-PL" w:eastAsia="pl-PL"/>
        </w:rPr>
        <w:t>Wykonawc</w:t>
      </w:r>
      <w:r w:rsidRPr="000624C3">
        <w:rPr>
          <w:rFonts w:ascii="Tahoma" w:eastAsia="Calibri" w:hAnsi="Tahoma" w:cs="Tahoma"/>
          <w:sz w:val="22"/>
          <w:lang w:val="x-none" w:eastAsia="pl-PL"/>
        </w:rPr>
        <w:t xml:space="preserve">y będzie następować na podstawie prawidłowo wystawionej i otrzymanej faktury ustrukturyzowanej, z zastrzeżeniem ust. </w:t>
      </w:r>
      <w:r w:rsidR="005A44AA" w:rsidRPr="000624C3">
        <w:rPr>
          <w:rFonts w:ascii="Tahoma" w:eastAsia="Calibri" w:hAnsi="Tahoma" w:cs="Tahoma"/>
          <w:sz w:val="22"/>
          <w:lang w:val="pl-PL" w:eastAsia="pl-PL"/>
        </w:rPr>
        <w:t>15</w:t>
      </w:r>
      <w:r w:rsidRPr="000624C3">
        <w:rPr>
          <w:rFonts w:ascii="Tahoma" w:eastAsia="Calibri" w:hAnsi="Tahoma" w:cs="Tahoma"/>
          <w:sz w:val="22"/>
          <w:lang w:val="x-none" w:eastAsia="pl-PL"/>
        </w:rPr>
        <w:t>.</w:t>
      </w:r>
    </w:p>
    <w:p w:rsidR="00577EC9" w:rsidRPr="000624C3" w:rsidRDefault="00577EC9" w:rsidP="00E80B4F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b/>
          <w:bCs/>
          <w:sz w:val="22"/>
          <w:lang w:val="x-none" w:eastAsia="x-none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x-none"/>
        </w:rPr>
        <w:t>Faktury ustrukturyzowane wystawiane przez Wykonawcę będą zawierać następujące dane Zamawiającego (w ramach struktury logicznej faktury ustrukturyzowanej):</w:t>
      </w:r>
    </w:p>
    <w:p w:rsidR="00577EC9" w:rsidRPr="000624C3" w:rsidRDefault="00577EC9" w:rsidP="00577EC9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w polu „Podmiot2”: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left="284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pl-PL" w:eastAsia="pl-PL"/>
        </w:rPr>
        <w:t xml:space="preserve">   </w:t>
      </w: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Nazwa nabywcy: Gmina Lubrza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 xml:space="preserve"> Adres nabywcy: os. Szkolne 13, 66-218 Lubrza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 xml:space="preserve"> NIP nabywcy: 927-18-88-775</w:t>
      </w:r>
    </w:p>
    <w:p w:rsidR="00577EC9" w:rsidRPr="000624C3" w:rsidRDefault="00577EC9" w:rsidP="00577EC9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left="426" w:right="-2" w:hanging="284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w polu „Podmiot3”: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426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Nazwa odbiorcy: Urząd Gminy w Lubrzy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426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Adres odbiorcy: os. Szkolne 13, 66-218 Lubrza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right="-2" w:firstLine="426"/>
        <w:jc w:val="both"/>
        <w:rPr>
          <w:rFonts w:ascii="Tahoma" w:eastAsia="Calibri" w:hAnsi="Tahoma" w:cs="Tahoma"/>
          <w:b/>
          <w:bCs/>
          <w:sz w:val="22"/>
          <w:lang w:val="x-none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x-none" w:eastAsia="pl-PL"/>
        </w:rPr>
        <w:t>NIP odbiorcy: 927-14-51-788</w:t>
      </w:r>
    </w:p>
    <w:p w:rsidR="00577EC9" w:rsidRPr="000624C3" w:rsidRDefault="00577EC9" w:rsidP="00577EC9">
      <w:pPr>
        <w:widowControl w:val="0"/>
        <w:autoSpaceDE w:val="0"/>
        <w:autoSpaceDN w:val="0"/>
        <w:spacing w:after="0" w:line="276" w:lineRule="auto"/>
        <w:ind w:left="426" w:right="-2"/>
        <w:jc w:val="both"/>
        <w:rPr>
          <w:rFonts w:ascii="Tahoma" w:eastAsia="Calibri" w:hAnsi="Tahoma" w:cs="Tahoma"/>
          <w:b/>
          <w:bCs/>
          <w:sz w:val="22"/>
          <w:lang w:val="pl-PL" w:eastAsia="pl-PL"/>
        </w:rPr>
      </w:pPr>
      <w:r w:rsidRPr="000624C3">
        <w:rPr>
          <w:rFonts w:ascii="Tahoma" w:eastAsia="Calibri" w:hAnsi="Tahoma" w:cs="Tahoma"/>
          <w:b/>
          <w:bCs/>
          <w:sz w:val="22"/>
          <w:lang w:val="pl-PL" w:eastAsia="pl-PL"/>
        </w:rPr>
        <w:t>wraz z oznaczenie roli, w jakiej występuje „Podmiot3”, tj.: odbiorca faktury.</w:t>
      </w:r>
    </w:p>
    <w:p w:rsidR="00577EC9" w:rsidRPr="000624C3" w:rsidRDefault="00577EC9" w:rsidP="00E80B4F">
      <w:pPr>
        <w:widowControl w:val="0"/>
        <w:numPr>
          <w:ilvl w:val="3"/>
          <w:numId w:val="18"/>
        </w:numPr>
        <w:tabs>
          <w:tab w:val="left" w:pos="426"/>
        </w:tabs>
        <w:autoSpaceDE w:val="0"/>
        <w:autoSpaceDN w:val="0"/>
        <w:spacing w:after="0" w:line="276" w:lineRule="auto"/>
        <w:ind w:left="426" w:right="-2" w:hanging="426"/>
        <w:jc w:val="both"/>
        <w:rPr>
          <w:rFonts w:ascii="Tahoma" w:eastAsia="Calibri" w:hAnsi="Tahoma" w:cs="Tahoma"/>
          <w:sz w:val="22"/>
          <w:lang w:val="x-none" w:eastAsia="x-none"/>
        </w:rPr>
      </w:pPr>
      <w:r w:rsidRPr="000624C3">
        <w:rPr>
          <w:rFonts w:ascii="Tahoma" w:eastAsia="Calibri" w:hAnsi="Tahoma" w:cs="Tahoma"/>
          <w:sz w:val="22"/>
          <w:lang w:val="x-none" w:eastAsia="x-none"/>
        </w:rPr>
        <w:t xml:space="preserve">Zamawiający zobowiązany jest zapłacić wynagrodzenie na rzecz Wykonawcy w terminie 30 dni od dnia otrzymania faktury ustrukturyzowanej. </w:t>
      </w:r>
    </w:p>
    <w:p w:rsidR="00577EC9" w:rsidRPr="000624C3" w:rsidRDefault="00577EC9" w:rsidP="0083594D">
      <w:pPr>
        <w:widowControl w:val="0"/>
        <w:numPr>
          <w:ilvl w:val="6"/>
          <w:numId w:val="19"/>
        </w:numPr>
        <w:autoSpaceDE w:val="0"/>
        <w:autoSpaceDN w:val="0"/>
        <w:spacing w:after="0" w:line="276" w:lineRule="auto"/>
        <w:ind w:left="426" w:right="-2" w:hanging="426"/>
        <w:jc w:val="both"/>
        <w:rPr>
          <w:rFonts w:ascii="Tahoma" w:eastAsia="Calibri" w:hAnsi="Tahoma" w:cs="Tahoma"/>
          <w:sz w:val="22"/>
          <w:lang w:val="x-none" w:eastAsia="x-none"/>
        </w:rPr>
      </w:pPr>
      <w:r w:rsidRPr="000624C3">
        <w:rPr>
          <w:rFonts w:ascii="Tahoma" w:eastAsia="Calibri" w:hAnsi="Tahoma" w:cs="Tahoma"/>
          <w:sz w:val="22"/>
          <w:lang w:val="x-none" w:eastAsia="x-none"/>
        </w:rPr>
        <w:t>Strony zgodnie postanawiają, że w przypadku wystawienia przez Wykonawcę faktury ustrukturyzowanej w sposób nieuwzględniający zasady wskazanej w ust. 1</w:t>
      </w:r>
      <w:r w:rsidR="005A44AA" w:rsidRPr="000624C3">
        <w:rPr>
          <w:rFonts w:ascii="Tahoma" w:eastAsia="Calibri" w:hAnsi="Tahoma" w:cs="Tahoma"/>
          <w:sz w:val="22"/>
          <w:lang w:val="pl-PL" w:eastAsia="x-none"/>
        </w:rPr>
        <w:t>1</w:t>
      </w:r>
      <w:r w:rsidRPr="000624C3">
        <w:rPr>
          <w:rFonts w:ascii="Tahoma" w:eastAsia="Calibri" w:hAnsi="Tahoma" w:cs="Tahoma"/>
          <w:sz w:val="22"/>
          <w:lang w:val="x-none" w:eastAsia="x-none"/>
        </w:rPr>
        <w:t xml:space="preserve">, przewidziany </w:t>
      </w:r>
      <w:r w:rsidRPr="000624C3">
        <w:rPr>
          <w:rFonts w:ascii="Tahoma" w:eastAsia="Calibri" w:hAnsi="Tahoma" w:cs="Tahoma"/>
          <w:sz w:val="22"/>
          <w:lang w:val="x-none" w:eastAsia="x-none"/>
        </w:rPr>
        <w:lastRenderedPageBreak/>
        <w:t>terminy płatności nie rozpoczyna się do momentu dokonania przez Wykonawcę korekty błędnie wystawionej faktury ustrukturyzowanej i jej otrzymania przez Zamawiającego.</w:t>
      </w:r>
    </w:p>
    <w:p w:rsidR="00577EC9" w:rsidRPr="000624C3" w:rsidRDefault="00577EC9" w:rsidP="0083594D">
      <w:pPr>
        <w:widowControl w:val="0"/>
        <w:numPr>
          <w:ilvl w:val="3"/>
          <w:numId w:val="20"/>
        </w:numPr>
        <w:autoSpaceDE w:val="0"/>
        <w:autoSpaceDN w:val="0"/>
        <w:spacing w:after="0" w:line="276" w:lineRule="auto"/>
        <w:ind w:left="426" w:right="-2" w:hanging="426"/>
        <w:jc w:val="both"/>
        <w:rPr>
          <w:rFonts w:ascii="Tahoma" w:eastAsia="Calibri" w:hAnsi="Tahoma" w:cs="Tahoma"/>
          <w:sz w:val="22"/>
          <w:lang w:val="x-none" w:eastAsia="x-none"/>
        </w:rPr>
      </w:pPr>
      <w:r w:rsidRPr="000624C3">
        <w:rPr>
          <w:rFonts w:ascii="Tahoma" w:eastAsia="Calibri" w:hAnsi="Tahoma" w:cs="Tahoma"/>
          <w:sz w:val="22"/>
          <w:lang w:val="x-none" w:eastAsia="x-none"/>
        </w:rPr>
        <w:t>W przypadku, gdy po wystawieniu przez Wykonawcę faktury ustrukturyzowanej oraz przydzieleniu tej fakturze numeru identyfikującego w KSeF wystąpi:</w:t>
      </w:r>
    </w:p>
    <w:p w:rsidR="00577EC9" w:rsidRPr="000624C3" w:rsidRDefault="00577EC9" w:rsidP="00577EC9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niedostępność KSeF zgodnie z art. 106nh ust. 1 oraz art. 106ne ust. 4 ustawy z dnia 11 marca 2004 r. o podatku od towarów i usług,</w:t>
      </w:r>
    </w:p>
    <w:p w:rsidR="00577EC9" w:rsidRPr="000624C3" w:rsidRDefault="00577EC9" w:rsidP="00577EC9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awaria KSeF zgodnie z art. 106nf ust. 1 oraz art. 106ne ust. 1 ustawy z dnia 11 marca 2004 r. o podatku od towarów i usług,</w:t>
      </w:r>
    </w:p>
    <w:p w:rsidR="00577EC9" w:rsidRPr="000624C3" w:rsidRDefault="00577EC9" w:rsidP="00577EC9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awaria całkowita KSeF zgodnie z art. 106ng oraz art. 106ne ust. 3 ustawy z dnia 11 marca 2004 r. o podatku od towarów i usług,</w:t>
      </w:r>
    </w:p>
    <w:p w:rsidR="00577EC9" w:rsidRPr="000624C3" w:rsidRDefault="00577EC9" w:rsidP="00577EC9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"/>
        <w:jc w:val="both"/>
        <w:rPr>
          <w:rFonts w:ascii="Tahoma" w:eastAsia="Calibri" w:hAnsi="Tahoma" w:cs="Tahoma"/>
          <w:sz w:val="22"/>
          <w:lang w:val="pl-PL" w:eastAsia="pl-PL"/>
        </w:rPr>
      </w:pPr>
      <w:r w:rsidRPr="000624C3">
        <w:rPr>
          <w:rFonts w:ascii="Tahoma" w:eastAsia="Calibri" w:hAnsi="Tahoma" w:cs="Tahoma"/>
          <w:sz w:val="22"/>
          <w:lang w:val="pl-PL" w:eastAsia="pl-PL"/>
        </w:rPr>
        <w:t>termin płatności wynagrodzenia przez Zamawiającego ulega wydłużeniu o czas (okres) niedostępności KSeF, awarii KSeF lub awarii całkowitej KSeF, przy czym okres ten zaokrągla się wzwyż do pełnego dnia kalendarzowego.</w:t>
      </w:r>
    </w:p>
    <w:p w:rsidR="00577EC9" w:rsidRPr="000624C3" w:rsidRDefault="00577EC9" w:rsidP="00577EC9">
      <w:pPr>
        <w:widowControl w:val="0"/>
        <w:numPr>
          <w:ilvl w:val="3"/>
          <w:numId w:val="20"/>
        </w:numPr>
        <w:autoSpaceDE w:val="0"/>
        <w:autoSpaceDN w:val="0"/>
        <w:spacing w:after="0" w:line="276" w:lineRule="auto"/>
        <w:ind w:left="426" w:right="-2" w:hanging="426"/>
        <w:jc w:val="both"/>
        <w:rPr>
          <w:rFonts w:ascii="Tahoma" w:eastAsia="Calibri" w:hAnsi="Tahoma" w:cs="Tahoma"/>
          <w:sz w:val="22"/>
          <w:lang w:val="x-none" w:eastAsia="x-none"/>
        </w:rPr>
      </w:pPr>
      <w:r w:rsidRPr="000624C3">
        <w:rPr>
          <w:rFonts w:ascii="Tahoma" w:eastAsia="Calibri" w:hAnsi="Tahoma" w:cs="Tahoma"/>
          <w:sz w:val="22"/>
          <w:lang w:val="x-none" w:eastAsia="x-none"/>
        </w:rPr>
        <w:t>W przypadku, gdy ze względu na wystąpienie sytuacji, o których mowa w ust. 1</w:t>
      </w:r>
      <w:r w:rsidR="005A44AA" w:rsidRPr="000624C3">
        <w:rPr>
          <w:rFonts w:ascii="Tahoma" w:eastAsia="Calibri" w:hAnsi="Tahoma" w:cs="Tahoma"/>
          <w:sz w:val="22"/>
          <w:lang w:val="pl-PL" w:eastAsia="x-none"/>
        </w:rPr>
        <w:t>4</w:t>
      </w:r>
      <w:r w:rsidRPr="000624C3">
        <w:rPr>
          <w:rFonts w:ascii="Tahoma" w:eastAsia="Calibri" w:hAnsi="Tahoma" w:cs="Tahoma"/>
          <w:sz w:val="22"/>
          <w:lang w:val="x-none" w:eastAsia="x-none"/>
        </w:rPr>
        <w:t xml:space="preserve"> Wykonawca nie będzie miał możliwości wystawienia i doręczenia faktury przy użyciu KSeF, faktury będą wystawiane zgodnie z obowiązującymi przepisami regulującymi skutki wystąpienia takich sytuacji. W takim przypadku faktury (wizualizacje faktur) będą doręczane na adres poczty elektronicznej e-mail Zamawiającego</w:t>
      </w:r>
      <w:r w:rsidR="00ED581E" w:rsidRPr="000624C3">
        <w:rPr>
          <w:rFonts w:ascii="Tahoma" w:eastAsia="Calibri" w:hAnsi="Tahoma" w:cs="Tahoma"/>
          <w:sz w:val="22"/>
          <w:lang w:val="pl-PL" w:eastAsia="x-none"/>
        </w:rPr>
        <w:t>:</w:t>
      </w:r>
      <w:r w:rsidRPr="000624C3">
        <w:rPr>
          <w:rFonts w:ascii="Tahoma" w:eastAsia="Calibri" w:hAnsi="Tahoma" w:cs="Tahoma"/>
          <w:sz w:val="22"/>
          <w:lang w:val="x-none" w:eastAsia="x-none"/>
        </w:rPr>
        <w:t xml:space="preserve"> </w:t>
      </w:r>
      <w:r w:rsidR="00ED581E" w:rsidRPr="000624C3">
        <w:rPr>
          <w:rFonts w:ascii="Tahoma" w:eastAsia="Calibri" w:hAnsi="Tahoma" w:cs="Tahoma"/>
          <w:sz w:val="22"/>
          <w:lang w:val="pl-PL" w:eastAsia="x-none"/>
        </w:rPr>
        <w:t>………………………….</w:t>
      </w:r>
      <w:r w:rsidRPr="000624C3">
        <w:rPr>
          <w:rFonts w:ascii="Tahoma" w:eastAsia="Calibri" w:hAnsi="Tahoma" w:cs="Tahoma"/>
          <w:sz w:val="22"/>
          <w:lang w:val="x-none" w:eastAsia="x-none"/>
        </w:rPr>
        <w:t xml:space="preserve">.. </w:t>
      </w:r>
    </w:p>
    <w:p w:rsidR="00577EC9" w:rsidRPr="000624C3" w:rsidRDefault="00577EC9" w:rsidP="00577EC9">
      <w:pPr>
        <w:widowControl w:val="0"/>
        <w:numPr>
          <w:ilvl w:val="3"/>
          <w:numId w:val="20"/>
        </w:numPr>
        <w:autoSpaceDE w:val="0"/>
        <w:autoSpaceDN w:val="0"/>
        <w:spacing w:after="0" w:line="276" w:lineRule="auto"/>
        <w:ind w:left="426" w:right="-2" w:hanging="426"/>
        <w:jc w:val="both"/>
        <w:rPr>
          <w:rFonts w:ascii="Tahoma" w:eastAsia="Calibri" w:hAnsi="Tahoma" w:cs="Tahoma"/>
          <w:sz w:val="22"/>
          <w:lang w:val="x-none" w:eastAsia="x-none"/>
        </w:rPr>
      </w:pPr>
      <w:r w:rsidRPr="000624C3">
        <w:rPr>
          <w:rFonts w:ascii="Tahoma" w:eastAsia="Calibri" w:hAnsi="Tahoma" w:cs="Tahoma"/>
          <w:sz w:val="22"/>
          <w:lang w:val="x-none" w:eastAsia="x-none"/>
        </w:rPr>
        <w:t xml:space="preserve">Termin płatności w odniesieniu faktur, o których mowa w ust. </w:t>
      </w:r>
      <w:r w:rsidR="00ED581E" w:rsidRPr="000624C3">
        <w:rPr>
          <w:rFonts w:ascii="Tahoma" w:eastAsia="Calibri" w:hAnsi="Tahoma" w:cs="Tahoma"/>
          <w:sz w:val="22"/>
          <w:lang w:val="pl-PL" w:eastAsia="x-none"/>
        </w:rPr>
        <w:t>15</w:t>
      </w:r>
      <w:r w:rsidRPr="000624C3">
        <w:rPr>
          <w:rFonts w:ascii="Tahoma" w:eastAsia="Calibri" w:hAnsi="Tahoma" w:cs="Tahoma"/>
          <w:sz w:val="22"/>
          <w:lang w:val="x-none" w:eastAsia="x-none"/>
        </w:rPr>
        <w:t>, liczony jest od dnia otrzymania faktury (wizualizacji faktury) przez Zamawiającego przy wykorzystaniu adresu poczty elektronicznej e-mail pod warunkiem, że faktura zawiera dane Zamawiającego, o których mowa w ust. 1</w:t>
      </w:r>
      <w:r w:rsidR="00737449" w:rsidRPr="000624C3">
        <w:rPr>
          <w:rFonts w:ascii="Tahoma" w:eastAsia="Calibri" w:hAnsi="Tahoma" w:cs="Tahoma"/>
          <w:sz w:val="22"/>
          <w:lang w:val="pl-PL" w:eastAsia="x-none"/>
        </w:rPr>
        <w:t>1</w:t>
      </w:r>
      <w:r w:rsidRPr="000624C3">
        <w:rPr>
          <w:rFonts w:ascii="Tahoma" w:eastAsia="Calibri" w:hAnsi="Tahoma" w:cs="Tahoma"/>
          <w:sz w:val="22"/>
          <w:lang w:val="x-none" w:eastAsia="x-none"/>
        </w:rPr>
        <w:t>. W przeciwnym wypadku termin płatności nie rozpoczyna się do momentu dokonania przez Wykonawcę korekty wystawionej faktury, która to korekta będzie uwzględniać dane Zamawiającego wskazane w ust. 1</w:t>
      </w:r>
      <w:r w:rsidR="00737449" w:rsidRPr="000624C3">
        <w:rPr>
          <w:rFonts w:ascii="Tahoma" w:eastAsia="Calibri" w:hAnsi="Tahoma" w:cs="Tahoma"/>
          <w:sz w:val="22"/>
          <w:lang w:val="pl-PL" w:eastAsia="x-none"/>
        </w:rPr>
        <w:t>1</w:t>
      </w:r>
      <w:r w:rsidRPr="000624C3">
        <w:rPr>
          <w:rFonts w:ascii="Tahoma" w:eastAsia="Calibri" w:hAnsi="Tahoma" w:cs="Tahoma"/>
          <w:sz w:val="22"/>
          <w:lang w:val="x-none" w:eastAsia="x-none"/>
        </w:rPr>
        <w:t>.</w:t>
      </w:r>
    </w:p>
    <w:p w:rsidR="00577EC9" w:rsidRPr="000624C3" w:rsidRDefault="0083594D" w:rsidP="0083594D">
      <w:pPr>
        <w:pStyle w:val="Akapitzlist"/>
        <w:numPr>
          <w:ilvl w:val="3"/>
          <w:numId w:val="20"/>
        </w:numPr>
        <w:ind w:left="426" w:hanging="426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W przypadku realizacji części Umowy przez podwykonawców Zamawiający może przed zapłatą zażądać dowodów uregulowania wymagalnego wynagrodzenia należnego podwykonawcom za zakres objęty fakturą.</w:t>
      </w:r>
    </w:p>
    <w:p w:rsidR="00966ADC" w:rsidRPr="000624C3" w:rsidRDefault="00166AE1" w:rsidP="00DD664D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9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Gwarancja, rękojmia i serwis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udziela Zamawiającemu:</w:t>
      </w:r>
    </w:p>
    <w:p w:rsidR="00966ADC" w:rsidRPr="000624C3" w:rsidRDefault="00166AE1" w:rsidP="0062663F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36-miesięcznej gwarancji jakości na elementy materialne ustawione lub zamontowane w terenie, w szczególności konstrukcje, stelaże, tablice, witacze, znaki, strzałki i ławki;</w:t>
      </w:r>
    </w:p>
    <w:p w:rsidR="00966ADC" w:rsidRPr="000624C3" w:rsidRDefault="00166AE1" w:rsidP="0062663F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24-miesięcznej gwarancji na prawidłowe funkcjonowanie podstrony internetowej oraz usunięcie błędów technicznych w przekazanych materiałach cyfrowych;</w:t>
      </w:r>
    </w:p>
    <w:p w:rsidR="00966ADC" w:rsidRPr="000624C3" w:rsidRDefault="00166AE1" w:rsidP="0062663F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gwarancji zgodności pozostałych materiałów z zaakceptowanymi projektami i OPZ, obejmującej wady ujawnione po odbiorze, które istniały w chwili wydania.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Okres gwarancji rozpoczyna bieg od dnia podpisania protokołu odbioru końcowego bez wad istotnych. W odniesieniu do elementu wymienionego albo poddanego istotnej naprawie okres gwarancji biegnie na nowo od dnia jego odbioru po naprawie.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Wykonawca przystąpi do diagnozy zgłoszonej wady nie później niż w terminie 2 dni roboczych i usunie ją w terminie nie dłuższym niż 7 dni roboczych, chyba że Strony uzgodnią inny termin ze względu na charakter wady lub technologię naprawy.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4. Jeżeli wada zagraża bezpieczeństwu osób lub mienia, Wykonawca podejmie działania zabezpieczające niezwłocznie, nie później niż w ciągu 24 godzin od zgłoszenia.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 razie bezskutecznego upływu terminu usunięcia wady Zamawiający może, po dodatkowym wezwaniu, usunąć wadę na koszt i ryzyko Wykonawcy, bez utraty uprawnień z gwarancji i rękojmi.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Gwarancja nie obejmuje uszkodzeń wynikających wyłącznie z wandalizmu, kolizji, działania osób trzecich, niezgodnego z przeznaczeniem użytkowania albo siły wyższej, o ile Wykonawca wykaże tę przyczynę.</w:t>
      </w:r>
    </w:p>
    <w:p w:rsidR="00966ADC" w:rsidRPr="000624C3" w:rsidRDefault="00166AE1" w:rsidP="0062663F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7. Uprawnienia z gwarancji nie wyłączają ani nie ograniczają uprawnień Zamawiającego z rękojmi.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10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Prawa autorskie, prawa zależne i materiały źródłowe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oświadcza, że rezultaty przekazywane Zamawiającemu będą oryginalne albo Wykonawca będzie posiadał pełne prawa i zgody niezbędne do ich wykorzystania zgodnie z Umową, bez naruszania praw osób trzecich.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Z chwilą odbioru danego rezultatu i zapłaty przypadającej na niego części wynagrodzenia Wykonawca przenosi na Zamawiającego, bez ograniczeń terytorialnych i czasowych, całość autorskich praw majątkowych do utworów powstałych w wykonaniu Umowy, na wszystkich znanych w dniu zawarcia Umowy polach eksploatacji potrzebnych do realizacji zadań publicznych, promocji, informacji, edukacji, sprawozdawczości i archiwizacji, w szczególności: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utrwalanie i zwielokrotnianie dowolną techniką, w tym drukarską, reprograficzną, fotograficzną, cyfrową, audiowizualną i zapisu magnetycznego;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wprowadzanie do pamięci komputera, serwerów, systemów informatycznych, baz danych, chmur i urządzeń mobilnych;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wprowadzanie do obrotu, użyczenie, najem, przekazywanie i rozpowszechnianie egzemplarzy;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publiczne wystawienie, wyświetlenie, odtworzenie, prezentowanie i wykorzystanie w przestrzeni publicznej, na wydarzeniach, targach i ekspozycjach;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nadawanie, reemitowanie, webcasting, simulcasting oraz udostępnianie w taki sposób, aby każdy mógł mieć dostęp w miejscu i czasie przez siebie wybranym, w tym w Internecie, serwisach społecznościowych, aplikacjach i usługach VOD;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publikowanie w Biuletynie Informacji Publicznej, serwisach Zamawiającego, partnerów projektu, instytucji finansujących i mediów;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wykorzystywanie w materiałach drukowanych, elektronicznych, multimedialnych, promocyjnych, informacyjnych, edukacyjnych i urzędowych;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8) łączenie z innymi utworami, znakami, logotypami, napisami, tłumaczeniami, dźwiękiem i obrazem;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9) dokonywanie zmian, skrótów, aktualizacji, adaptacji, tłumaczeń, korekt, przeróbek, zmiany formatu i układu oraz korzystanie z powstałych opracowań;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10) archiwizowanie, digitalizacja i udostępnianie w otwartych repozytoriach oraz w ramach kontroli, audytów i trwałości projektu.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Wykonawca przenosi na Zamawiającego wyłączne prawo zezwalania na wykonywanie zależnych praw autorskich oraz upoważnia Zamawiającego do dokonywania i zlecania opracowań, zmian, adaptacji i tłumaczeń oraz rozporządzania nimi.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4. Wykonawca zapewni, że twórcy nie będą wykonywać autorskich praw osobistych w sposób utrudniający korzystanie z rezultatów przez Zamawiającego, oraz upoważni Zamawiającego do decydowania o pierwszym udostępnieniu, oznaczeniu autorstwa, integralności, nadzorze nad sposobem korzystania i dokonywaniu zmian, w zakresie dopuszczalnym prawem.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Wynagrodzenie określone w § 8 obejmuje wynagrodzenie za przeniesienie praw autorskich, praw zależnych, własności nośników i egzemplarzy oraz udzielenie wszelkich licencji i zezwoleń wymaganych Umową.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Wykonawca przekaże Zamawiającemu kompletne, uporządkowane i możliwe do dalszej edycji pliki źródłowe, w tym pliki graficzne, składu, map, zdjęć, filmów, napisów, tekstów, tłumaczeń, podstrony internetowej i dokumentacji technicznej, wraz z opisem użytych formatów i komponentów.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7. W odniesieniu do komponentów, których praw nie można przenieść, w szczególności standardowego oprogramowania, fontów, bibliotek, materiałów stockowych lub komponentów open source, Wykonawca: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przed ich użyciem uzyska zgodę Zamawiającego;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zapewni Zamawiającemu licencję o zakresie, czasie i terytorium pozwalającym na niezakłócone korzystanie z rezultatu zgodnie z Umową;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przekaże wykaz komponentów, warunki licencyjne i informacje o obowiązkach wynikających z licencji;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nie zastosuje komponentu wymagającego dodatkowych, okresowych opłat Zamawiającego bez jego uprzedniej pisemnej zgody.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8. W przypadku zgłoszenia roszczeń osób trzecich Wykonawca, na własny koszt, podejmie działania w celu ochrony Zamawiającego, zaspokoi prawomocnie zasądzone lub uzgodnione roszczenia i zapewni Zamawiającemu możliwość dalszego korzystania z rezultatów albo zastąpi kwestionowany element rozwiązaniem równoważnym, wolnym od wad prawnych.</w:t>
      </w:r>
    </w:p>
    <w:p w:rsidR="00966ADC" w:rsidRPr="000624C3" w:rsidRDefault="00166AE1" w:rsidP="0083594D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11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Informacja, promocja i oznakowanie dofinansowania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Zamówienie jest współfinansowane z Funduszu Małych Projektów Euroregionu „Sprewa–Nysa–Bóbr” w ramach Programu Współpracy Interreg VI A Brandenburgia–Polska 2021–2027, w celu szczegółowym 4.6 dotyczącym wzmocnienia roli kultury i zrównoważonej turystyki w rozwoju gospodarczym, włączeniu społecznym i innowacjach społecznych.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Wykonawca zastosuje na wszystkich właściwych materiałach logotypy, znaki, informacje o współfinansowaniu i inne elementy widoczności przekazane lub wskazane przez Zamawiającego, zgodnie z aktualnymi wytycznymi programu.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Materiały niespełniające wymagań widoczności, oznakowania lub akceptacji Zamawiającego zostaną poprawione albo wykonane ponownie na koszt Wykonawcy.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Wykonawca będzie przechowywał dowody wykonania obowiązków informacyjnych i promocyjnych oraz udostępni je Zamawiającemu na potrzeby rozliczenia, kontroli i trwałości projektu.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12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Podwykonawcy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może powierzyć wykonanie części Umowy podwykonawcom w zakresie zgodnym z ofertą i dokumentami zamówienia, z zachowaniem odpowiedzialności za całość realizacji.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2. Wykonawca poinformuje Zamawiającego o nazwach i danych kontaktowych podwykonawców oraz o powierzonym im zakresie przed rozpoczęciem przez nich prac, a także o każdej zmianie tych danych.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Powierzenie prac podwykonawcy nie zwalnia Wykonawcy z obowiązku zapewnienia praw autorskich, jakości, terminowości, poufności i zgodności z zasadami programu.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Wykonawca terminowo reguluje wynagrodzenie podwykonawców i na żądanie Zamawiającego przedkłada dowody zapłaty za zakres objęty rozliczeniem.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13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Kary umowne i odpowiedzialność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zapłaci Zamawiającemu kary umowne: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za zwłokę w wykonaniu całego przedmiotu Umowy – 0,10% łącznego wynagrodzenia brutto za każdy rozpoczęty dzień zwłoki;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za zwłokę w wykonaniu danego Zadania względem terminu wynikającego z zatwierdzonego harmonogramu, jeżeli zwłoka zagraża terminowi końcowemu – 0,05% wynagrodzenia brutto tego Zadania za każdy rozpoczęty dzień zwłoki;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za zwłokę w usunięciu wad stwierdzonych przy odbiorze lub w okresie gwarancji – 0,05% wynagrodzenia brutto odpowiedniego Zadania za każdy rozpoczęty dzień zwłoki;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za skierowanie produktu do publikacji, druku, produkcji, zakupu albo montażu bez wymaganej akceptacji Zamawiającego – 1% wynagrodzenia brutto odpowiedniego Zadania za każdy przypadek;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za nieprzekazanie wymaganych plików źródłowych, danych dostępowych, licencji lub dokumentacji – 1% łącznego wynagrodzenia brutto za każdy stwierdzony przypadek, po bezskutecznym upływie dodatkowego terminu;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za naruszenie obowiązków dotyczących praw autorskich, praw do wizerunku, licencji lub wykorzystania materiałów osób trzecich – 5% łącznego wynagrodzenia brutto za każdy przypadek;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za odstąpienie od Umowy lub jej rozwiązanie z przyczyn leżących po stronie Wykonawcy – 10% łącznego wynagrodzenia brutto.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Zamawiający zapłaci Wykonawcy karę umowną w wysokości 10% niezrealizowanej części wynagrodzenia brutto w przypadku odstąpienia od Umowy z przyczyn leżących wyłącznie po stronie Zamawiającego, z wyjątkiem przypadków odstąpienia lub rozwiązania przewidzianych przepisami Prawa zamówień publicznych, interesem publicznym, brakiem finansowania niezawinionym przez Zamawiającego albo naruszeniem Umowy przez Wykonawcę.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Łączna maksymalna wysokość kar umownych, których może dochodzić każda ze Stron ze wszystkich tytułów, nie może przekroczyć 20% łącznego wynagrodzenia brutto określonego w § 8 ust. 1.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Kary mogą być naliczane niezależnie, jeżeli dotyczą różnych naruszeń, z zastrzeżeniem limitu określonego w ust. 3.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Zamawiający może potrącić naliczone kary z wynagrodzenia Wykonawcy po przekazaniu noty obciążeniowej i podstawy naliczenia, z uwzględnieniem obowiązujących przepisów.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Strony mogą dochodzić odszkodowania uzupełniającego przewyższającego wysokość kar umownych na zasadach ogólnych, do wysokości rzeczywiście poniesionej szkody.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7. Kary za opóźnienie lub zwłokę nie są naliczane w zakresie, w jakim niewykonanie terminu wynika z okoliczności leżących wyłącznie po stronie Zamawiającego, siły wyższej lub prawidłowo udokumentowanych przesłanek zmiany terminu określonych w § 15.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14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Odstąpienie, rozwiązanie i wykonanie zastępcze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Niezależnie od przypadków przewidzianych prawem</w:t>
      </w:r>
      <w:r w:rsidR="00615B24" w:rsidRPr="000624C3">
        <w:rPr>
          <w:rFonts w:ascii="Tahoma" w:hAnsi="Tahoma" w:cs="Tahoma"/>
          <w:sz w:val="22"/>
          <w:lang w:val="pl-PL"/>
        </w:rPr>
        <w:t xml:space="preserve"> </w:t>
      </w:r>
      <w:r w:rsidRPr="000624C3">
        <w:rPr>
          <w:rFonts w:ascii="Tahoma" w:hAnsi="Tahoma" w:cs="Tahoma"/>
          <w:sz w:val="22"/>
          <w:lang w:val="pl-PL"/>
        </w:rPr>
        <w:t>Zamawiający może odstąpić od Umowy w całości lub w niewykonanej części, jeżeli Wykonawca: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nie rozpoczął realizacji albo przerwał ją bez uzasadnienia i nie podjął prac w terminie 5 dni roboczych od wezwania;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realizuje Umowę w sposób sprzeczny z dokumentami zamówienia lub zatwierdzonymi koncepcjami i nie zmienia sposobu wykonania w wyznaczonym terminie;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pozostaje w zwłoce, która uzasadnia ocenę, że dotrzymanie terminu końcowego nie jest możliwe;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publikuje, produkuje lub montuje materiały bez wymaganej akceptacji pomimo wezwania;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narusza prawa osób trzecich albo nie zapewnia Zamawiającemu praw wymaganych Umową;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nie usuwa wad istotnych w dodatkowym terminie;</w:t>
      </w:r>
    </w:p>
    <w:p w:rsidR="00966ADC" w:rsidRPr="000624C3" w:rsidRDefault="00166AE1" w:rsidP="0083594D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powierzył zasadniczy zakres prac innemu podmiotowi w sposób sprzeczny z ofertą lub dokumentami zamówienia.</w:t>
      </w:r>
    </w:p>
    <w:p w:rsidR="00966ADC" w:rsidRPr="000624C3" w:rsidRDefault="00166AE1" w:rsidP="0083594D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Przed odstąpieniem z przyczyn możliwych do usunięcia Zamawiający wyznaczy Wykonawcy odpowiedni dodatkowy termin, nie krótszy niż 3 dni robocze, z zagrożeniem odstąpienia. Wezwanie nie jest wymagane w przypadku naruszenia nieusuwalnego albo zagrażającego bezpieczeństwu lub utracie dofinansowania.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W przypadku odstąpienia Wykonawca zabezpieczy wykonane prace, przekaże Zamawiającemu wszystkie dotychczasowe rezultaty i pliki źródłowe oraz sporządzi inwentaryzację wykonania. Zamawiający zapłaci wyłącznie za należycie wykonany, przydatny i odebrany zakres, z uwzględnieniem potrąceń i roszczeń.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Jeżeli Wykonawca nie wykona obowiązku zabezpieczenia, usunięcia wady lub innej czynności w dodatkowym terminie, Zamawiający może zlecić wykonanie zastępcze na koszt i ryzyko Wykonawcy, po uprzednim zawiadomieniu, bez konieczności uzyskania odrębnego upoważnienia sądu.</w:t>
      </w:r>
    </w:p>
    <w:p w:rsidR="00966ADC" w:rsidRPr="000624C3" w:rsidRDefault="00166AE1" w:rsidP="00615B24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15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Zmiany Umowy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Zmiana Umowy jest dopuszczalna w przypadkach przewidzianych przepisami Prawa zamówień publicznych oraz w zakresie opisanym w niniejszym paragrafie, pod warunkiem że nie zmienia ogólnego charakteru Umowy.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Strony przewidują możliwość zmiany terminu realizacji w przypadku: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siły wyższej lub nadzwyczajnych zdarzeń zewnętrznych, których Strona nie mogła przewidzieć i którym nie mogła zapobiec;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warunków atmosferycznych obiektywnie uniemożliwiających bezpieczne albo prawidłowe wykonanie prac terenowych lub montażowych, potwierdzonych dokumentacją;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opóźnienia w uzyskaniu zgód, zezwoleń, uzgodnień lub dostępu do lokalizacji, mimo terminowego i należytego działania Wykonawcy;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4) braku możliwości wykorzystania wskazanej lokalizacji z przyczyn prawnych, technicznych, środowiskowych lub własnościowych;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5) opóźnienia Zamawiającego w przekazaniu materiałów, decyzji, lokalizacji, dostępu lub akceptacji ponad terminy przyjęte w harmonogramie;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6) konieczności wprowadzenia zmian do zatwierdzonych materiałów na żądanie Zamawiającego, wynikających z nowych okoliczności, zmian wytycznych instytucji finansującej lub wymogów kontroli;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7) zmiany przepisów prawa, wytycznych programu lub wymagań instytucji finansującej wpływającej na sposób lub termin wykonania;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8) udokumentowanej niedostępności materiałów albo komponentów wskazanych w OPZ, której nie można było racjonalnie przewidzieć, jeżeli konieczne jest zatwierdzenie rozwiązania zamiennego;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9) wstrzymania realizacji przez uprawniony organ lub Zamawiającego z przyczyn niezawinionych przez Wykonawcę.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Zmiana terminu może obejmować okres odpowiadający rzeczywistemu wpływowi zdarzenia na realizację, wraz z niezbędnym czasem na wznowienie prac. Wykonawca ma obowiązek ograniczać skutki zdarzenia i realizować zakres, którego wykonanie pozostaje możliwe.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Strony przewidują możliwość zmiany sposobu wykonania, parametrów technicznych lub lokalizacji, jeżeli: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zaproponowane rozwiązanie jest równoważne lub korzystniejsze funkcjonalnie, jakościowo albo eksploatacyjnie i nie prowadzi do obniżenia wymaganych rezultatów;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materiał lub komponent został wycofany, jest niedostępny albo jego użycie stało się niecelowe lub niezgodne z prawem;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zmiana lokalizacji w granicach Gminy Lubrza jest wymagana ze względów własnościowych, technicznych, bezpieczeństwa, ochrony przyrody albo organizacji ruchu turystycznego;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4) zmiana jest konieczna do zapewnienia spójności obu zadań, dostępności, bezpieczeństwa, trwałości lub zgodności z wytycznymi programu.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Zmiana wynagrodzenia jest dopuszczalna w szczególności w przypadku: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zmiany stawki podatku od towarów i usług lub podatku akcyzowego – w zakresie wynikającym z tej zmiany;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zmiany zakresu lub wykonania dodatkowych świadczeń dopuszczonych na podstawie Prawa zamówień publicznych, po uprzednim ustaleniu zasad wyceny;</w:t>
      </w:r>
    </w:p>
    <w:p w:rsidR="00966ADC" w:rsidRPr="000624C3" w:rsidRDefault="00166AE1" w:rsidP="00615B24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zastosowania rozwiązania zamiennego powodującego udokumentowaną zmianę kosztu, o ile zmiana ceny jest dopuszczalna na podstawie przepisów i została zaakceptowana przed realizacją.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6. Dopuszczalna jest zmiana osób do kontaktu, podwykonawców, danych adresowych, rachunku bankowego i harmonogramu operacyjnego, jeżeli nie wpływa na istotne postanowienia Umowy. Zmiana osób do kontaktu nie wymaga aneksu i jest skuteczna po pisemnym lub elektronicznym zawiadomieniu.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7. Strona występująca o zmianę przedstawi jej opis, podstawę, wpływ na termin, koszt i zakres oraz dokumenty potwierdzające. Samo wystąpienie nie uprawnia Wykonawcy do wstrzymania prac ani zastosowania zmienionych warunków przed ich zatwierdzeniem.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8. Zmiany wymagające modyfikacji istotnych postanowień Umowy są dokonywane w formie pisemnego aneksu pod rygorem nieważności.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lastRenderedPageBreak/>
        <w:t>§ 16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Siła wyższa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Przez siłę wyższą rozumie się zdarzenie zewnętrzne, nadzwyczajne, niemożliwe do przewidzenia przy zachowaniu należytej staranności i niemożliwe do uniknięcia, w szczególności katastrofę naturalną, pożar o znacznym zasięgu, wojnę, działania zbrojne, zamieszki, akt terrorystyczny, powszechną awarię infrastruktury albo wiążące działanie władz uniemożliwiające realizację.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Strona powołująca się na siłę wyższą zawiadomi drugą Stronę niezwłocznie, nie później niż w terminie 3 dni roboczych od uzyskania możliwości zawiadomienia, opisując zdarzenie, jego wpływ i przewidywany czas trwania.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Strony podejmą działania zmierzające do ograniczenia skutków siły wyższej. Brak zawiadomienia powoduje utratę prawa powołania się na siłę wyższą w zakresie szkód, których można było uniknąć dzięki terminowej informacji.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17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Poufność, dane i bezpieczeństwo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Wykonawca zachowa w poufności informacje niepubliczne uzyskane w związku z realizacją Umowy i wykorzysta je wyłącznie do jej wykonania. Obowiązek nie dotyczy informacji, których ujawnienie wynika z prawa, kontroli, zasad finansowania albo zgody Zamawiającego.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Wykonawca zastosuje odpowiednie środki organizacyjne i techniczne chroniące materiały, konta, dane dostępowe i systemy Zamawiającego przed utratą, nieuprawnionym dostępem lub modyfikacją.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Dane dostępowe nie mogą być przekazywane osobom niezaangażowanym w realizację, a po wykonaniu prac Wykonawca usunie ich kopie i potwierdzi tę czynność na żądanie Zamawiającego.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Jeżeli wykonanie Umowy będzie wymagało przetwarzania danych osobowych w imieniu Zamawiającego, Strony zawrą przed rozpoczęciem takiego przetwarzania odrębną umowę powierzenia. Do tego czasu Wykonawca nie jest uprawniony do przetwarzania danych osobowych w imieniu Zamawiającego.</w:t>
      </w:r>
    </w:p>
    <w:p w:rsidR="00966ADC" w:rsidRPr="000624C3" w:rsidRDefault="00166AE1" w:rsidP="00615B24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Wykonawca przyjmuje do wiadomości, że Umowa i informacje o jej realizacji mogą podlegać udostępnieniu na zasadach jawności finansów publicznych i dostępu do informacji publicznej, z uwzględnieniem prawnie chronionych tajemnic.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18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Przedstawiciele Stron i komunikacja</w:t>
      </w:r>
    </w:p>
    <w:p w:rsidR="00966ADC" w:rsidRPr="000624C3" w:rsidRDefault="00166AE1">
      <w:pPr>
        <w:ind w:left="283" w:hanging="283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Do bieżącej koordynacji realizacji Umowy Strony wyznaczają: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2465"/>
        <w:gridCol w:w="2465"/>
        <w:gridCol w:w="2465"/>
      </w:tblGrid>
      <w:tr w:rsidR="000624C3" w:rsidRPr="000624C3" w:rsidTr="00615B24">
        <w:trPr>
          <w:tblHeader/>
          <w:jc w:val="center"/>
        </w:trPr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Strona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Osoba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Telefon</w:t>
            </w:r>
          </w:p>
        </w:tc>
        <w:tc>
          <w:tcPr>
            <w:tcW w:w="2465" w:type="dxa"/>
            <w:shd w:val="clear" w:color="auto" w:fill="F2F2F2" w:themeFill="background1" w:themeFillShade="F2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E-mail</w:t>
            </w:r>
          </w:p>
        </w:tc>
      </w:tr>
      <w:tr w:rsidR="000624C3" w:rsidRPr="000624C3">
        <w:trPr>
          <w:jc w:val="center"/>
        </w:trPr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sz w:val="22"/>
              </w:rPr>
              <w:t>Zamawiający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</w:tr>
      <w:tr w:rsidR="00966ADC" w:rsidRPr="000624C3">
        <w:trPr>
          <w:jc w:val="center"/>
        </w:trPr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sz w:val="22"/>
              </w:rPr>
              <w:t>Wykonawca</w:t>
            </w: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  <w:tc>
          <w:tcPr>
            <w:tcW w:w="246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:rsidR="00966ADC" w:rsidRPr="000624C3" w:rsidRDefault="00966ADC">
            <w:pPr>
              <w:spacing w:after="0" w:line="240" w:lineRule="auto"/>
              <w:rPr>
                <w:rFonts w:ascii="Tahoma" w:hAnsi="Tahoma" w:cs="Tahoma"/>
                <w:sz w:val="22"/>
              </w:rPr>
            </w:pPr>
          </w:p>
        </w:tc>
      </w:tr>
    </w:tbl>
    <w:p w:rsidR="00966ADC" w:rsidRPr="000624C3" w:rsidRDefault="00966ADC">
      <w:pPr>
        <w:spacing w:after="0"/>
        <w:rPr>
          <w:rFonts w:ascii="Tahoma" w:hAnsi="Tahoma" w:cs="Tahoma"/>
          <w:sz w:val="22"/>
        </w:rPr>
      </w:pP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Osoby wskazane w ust. 1 są uprawnione do uzgodnień operacyjnych, przekazywania uwag, zatwierdzania koncepcji i podpisywania protokołów w zakresie udzielonego umocowania. Nie są uprawnione do zmiany Umowy, zaciągania dodatkowych zobowiązań finansowych ani rezygnacji z roszczeń, chyba że posiadają odrębne umocowanie.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lastRenderedPageBreak/>
        <w:t>3. Zawiadomienia dotyczące odstąpienia, rozwiązania, naliczenia kar, roszczeń i zmian Umowy wymagają formy pisemnej lub kwalifikowanej formy elektronicznej, chyba że przepisy wymagają formy surowszej.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Zmiana danych kontaktowych jest skuteczna od dnia doręczenia zawiadomienia drugiej Stronie i nie wymaga aneksu.</w:t>
      </w:r>
    </w:p>
    <w:p w:rsidR="00966ADC" w:rsidRPr="000624C3" w:rsidRDefault="00166AE1">
      <w:pPr>
        <w:pStyle w:val="Nagwek1"/>
        <w:spacing w:before="160" w:after="80"/>
        <w:jc w:val="center"/>
        <w:rPr>
          <w:rFonts w:ascii="Tahoma" w:hAnsi="Tahoma" w:cs="Tahoma"/>
          <w:color w:val="auto"/>
          <w:sz w:val="22"/>
          <w:szCs w:val="22"/>
          <w:lang w:val="pl-PL"/>
        </w:rPr>
      </w:pPr>
      <w:r w:rsidRPr="000624C3">
        <w:rPr>
          <w:rFonts w:ascii="Tahoma" w:hAnsi="Tahoma" w:cs="Tahoma"/>
          <w:color w:val="auto"/>
          <w:sz w:val="22"/>
          <w:szCs w:val="22"/>
          <w:lang w:val="pl-PL"/>
        </w:rPr>
        <w:t>§ 19</w:t>
      </w:r>
      <w:r w:rsidRPr="000624C3">
        <w:rPr>
          <w:rFonts w:ascii="Tahoma" w:hAnsi="Tahoma" w:cs="Tahoma"/>
          <w:color w:val="auto"/>
          <w:sz w:val="22"/>
          <w:szCs w:val="22"/>
          <w:lang w:val="pl-PL"/>
        </w:rPr>
        <w:br/>
        <w:t>Postanowienia końcowe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1. W sprawach nieuregulowanych Umową stosuje się przepisy Prawa zamówień publicznych, Kodeksu cywilnego, ustawy o prawie autorskim i prawach pokrewnych oraz inne właściwe przepisy.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2. Strony zobowiązują się w pierwszej kolejności podjąć próbę polubownego rozwiązania sporu. W razie braku porozumienia spór rozstrzygnie sąd powszechny właściwy miejscowo dla siedziby Zamawiającego.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3. Nieważność lub bezskuteczność pojedynczego postanowienia nie wpływa na ważność pozostałych postanowień. Strony zastąpią je postanowieniem zgodnym z prawem i możliwie najbliższym celowi gospodarczemu pierwotnego zapisu.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4. Umowę sporządzono w</w:t>
      </w:r>
      <w:r w:rsidR="00615B24" w:rsidRPr="000624C3">
        <w:rPr>
          <w:rFonts w:ascii="Tahoma" w:hAnsi="Tahoma" w:cs="Tahoma"/>
          <w:sz w:val="22"/>
          <w:lang w:val="pl-PL"/>
        </w:rPr>
        <w:t xml:space="preserve"> 2</w:t>
      </w:r>
      <w:r w:rsidRPr="000624C3">
        <w:rPr>
          <w:rFonts w:ascii="Tahoma" w:hAnsi="Tahoma" w:cs="Tahoma"/>
          <w:sz w:val="22"/>
          <w:lang w:val="pl-PL"/>
        </w:rPr>
        <w:t xml:space="preserve"> jednobrzmiących egzemplarzach, w tym </w:t>
      </w:r>
      <w:r w:rsidR="00615B24" w:rsidRPr="000624C3">
        <w:rPr>
          <w:rFonts w:ascii="Tahoma" w:hAnsi="Tahoma" w:cs="Tahoma"/>
          <w:sz w:val="22"/>
          <w:lang w:val="pl-PL"/>
        </w:rPr>
        <w:t xml:space="preserve">jeden </w:t>
      </w:r>
      <w:r w:rsidRPr="000624C3">
        <w:rPr>
          <w:rFonts w:ascii="Tahoma" w:hAnsi="Tahoma" w:cs="Tahoma"/>
          <w:sz w:val="22"/>
          <w:lang w:val="pl-PL"/>
        </w:rPr>
        <w:t>dla Zamawiającego i</w:t>
      </w:r>
      <w:r w:rsidR="00615B24" w:rsidRPr="000624C3">
        <w:rPr>
          <w:rFonts w:ascii="Tahoma" w:hAnsi="Tahoma" w:cs="Tahoma"/>
          <w:sz w:val="22"/>
          <w:lang w:val="pl-PL"/>
        </w:rPr>
        <w:t xml:space="preserve"> jeden</w:t>
      </w:r>
      <w:r w:rsidRPr="000624C3">
        <w:rPr>
          <w:rFonts w:ascii="Tahoma" w:hAnsi="Tahoma" w:cs="Tahoma"/>
          <w:sz w:val="22"/>
          <w:lang w:val="pl-PL"/>
        </w:rPr>
        <w:t xml:space="preserve"> dla Wykonawcy / Umowę zawarto w postaci elektronicznej.</w:t>
      </w:r>
    </w:p>
    <w:p w:rsidR="00966ADC" w:rsidRPr="000624C3" w:rsidRDefault="00166AE1" w:rsidP="00233176">
      <w:pPr>
        <w:ind w:left="283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5. Załączniki do Umowy:</w:t>
      </w:r>
    </w:p>
    <w:p w:rsidR="00966ADC" w:rsidRPr="000624C3" w:rsidRDefault="00166AE1" w:rsidP="00233176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1) Załącznik nr 1 – OPZ: Zadanie nr 1 „Lubrza – wspólna przestrzeń turystyczna pogranicza”;</w:t>
      </w:r>
    </w:p>
    <w:p w:rsidR="00966ADC" w:rsidRPr="000624C3" w:rsidRDefault="00166AE1" w:rsidP="00233176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2) Załącznik nr 2 – OPZ: Zadanie nr 2 „Lubrzańskie szlaki turystyczne na pograniczu”;</w:t>
      </w:r>
    </w:p>
    <w:p w:rsidR="00966ADC" w:rsidRPr="000624C3" w:rsidRDefault="00166AE1" w:rsidP="00233176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>3) Załącznik nr 3 – oferta Wykonawcy wraz z formularzem cenowym;</w:t>
      </w:r>
    </w:p>
    <w:p w:rsidR="00966ADC" w:rsidRPr="000624C3" w:rsidRDefault="00166AE1" w:rsidP="00233176">
      <w:pPr>
        <w:ind w:left="652" w:hanging="283"/>
        <w:jc w:val="both"/>
        <w:rPr>
          <w:rFonts w:ascii="Tahoma" w:hAnsi="Tahoma" w:cs="Tahoma"/>
          <w:sz w:val="22"/>
          <w:lang w:val="pl-PL"/>
        </w:rPr>
      </w:pPr>
      <w:r w:rsidRPr="000624C3">
        <w:rPr>
          <w:rFonts w:ascii="Tahoma" w:hAnsi="Tahoma" w:cs="Tahoma"/>
          <w:sz w:val="22"/>
          <w:lang w:val="pl-PL"/>
        </w:rPr>
        <w:t xml:space="preserve">5) Załącznik nr </w:t>
      </w:r>
      <w:r w:rsidR="00900C04" w:rsidRPr="000624C3">
        <w:rPr>
          <w:rFonts w:ascii="Tahoma" w:hAnsi="Tahoma" w:cs="Tahoma"/>
          <w:sz w:val="22"/>
          <w:lang w:val="pl-PL"/>
        </w:rPr>
        <w:t>4</w:t>
      </w:r>
      <w:r w:rsidRPr="000624C3">
        <w:rPr>
          <w:rFonts w:ascii="Tahoma" w:hAnsi="Tahoma" w:cs="Tahoma"/>
          <w:sz w:val="22"/>
          <w:lang w:val="pl-PL"/>
        </w:rPr>
        <w:t xml:space="preserve"> – zatwierdzony harmonogram rzeczowo-terminowy (po jego uzgodnieniu).</w:t>
      </w:r>
    </w:p>
    <w:p w:rsidR="00966ADC" w:rsidRPr="000624C3" w:rsidRDefault="00966ADC">
      <w:pPr>
        <w:spacing w:before="320"/>
        <w:rPr>
          <w:rFonts w:ascii="Tahoma" w:hAnsi="Tahoma" w:cs="Tahoma"/>
          <w:sz w:val="22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966ADC" w:rsidRPr="000624C3">
        <w:trPr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ZAMAWIAJĄCY</w:t>
            </w:r>
            <w:r w:rsidRPr="000624C3">
              <w:rPr>
                <w:rFonts w:ascii="Tahoma" w:hAnsi="Tahoma" w:cs="Tahoma"/>
                <w:b/>
                <w:sz w:val="22"/>
              </w:rPr>
              <w:br/>
            </w:r>
            <w:r w:rsidRPr="000624C3">
              <w:rPr>
                <w:rFonts w:ascii="Tahoma" w:hAnsi="Tahoma" w:cs="Tahoma"/>
                <w:b/>
                <w:sz w:val="22"/>
              </w:rPr>
              <w:br/>
            </w:r>
            <w:r w:rsidRPr="000624C3">
              <w:rPr>
                <w:rFonts w:ascii="Tahoma" w:hAnsi="Tahoma" w:cs="Tahoma"/>
                <w:b/>
                <w:sz w:val="22"/>
              </w:rPr>
              <w:br/>
              <w:t>........................................................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:rsidR="00966ADC" w:rsidRPr="000624C3" w:rsidRDefault="00166AE1">
            <w:pPr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0624C3">
              <w:rPr>
                <w:rFonts w:ascii="Tahoma" w:hAnsi="Tahoma" w:cs="Tahoma"/>
                <w:b/>
                <w:sz w:val="22"/>
              </w:rPr>
              <w:t>WYKONAWCA</w:t>
            </w:r>
            <w:r w:rsidRPr="000624C3">
              <w:rPr>
                <w:rFonts w:ascii="Tahoma" w:hAnsi="Tahoma" w:cs="Tahoma"/>
                <w:b/>
                <w:sz w:val="22"/>
              </w:rPr>
              <w:br/>
            </w:r>
            <w:r w:rsidRPr="000624C3">
              <w:rPr>
                <w:rFonts w:ascii="Tahoma" w:hAnsi="Tahoma" w:cs="Tahoma"/>
                <w:b/>
                <w:sz w:val="22"/>
              </w:rPr>
              <w:br/>
            </w:r>
            <w:r w:rsidRPr="000624C3">
              <w:rPr>
                <w:rFonts w:ascii="Tahoma" w:hAnsi="Tahoma" w:cs="Tahoma"/>
                <w:b/>
                <w:sz w:val="22"/>
              </w:rPr>
              <w:br/>
              <w:t>........................................................</w:t>
            </w:r>
          </w:p>
        </w:tc>
      </w:tr>
    </w:tbl>
    <w:p w:rsidR="00166AE1" w:rsidRPr="000624C3" w:rsidRDefault="00166AE1">
      <w:pPr>
        <w:rPr>
          <w:rFonts w:ascii="Tahoma" w:hAnsi="Tahoma" w:cs="Tahoma"/>
          <w:sz w:val="22"/>
        </w:rPr>
      </w:pPr>
    </w:p>
    <w:sectPr w:rsidR="00166AE1" w:rsidRPr="000624C3" w:rsidSect="00034616">
      <w:headerReference w:type="default" r:id="rId9"/>
      <w:footerReference w:type="default" r:id="rId10"/>
      <w:pgSz w:w="12240" w:h="15840"/>
      <w:pgMar w:top="964" w:right="1134" w:bottom="907" w:left="1247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E9C" w:rsidRDefault="00442E9C">
      <w:pPr>
        <w:spacing w:after="0" w:line="240" w:lineRule="auto"/>
      </w:pPr>
      <w:r>
        <w:separator/>
      </w:r>
    </w:p>
  </w:endnote>
  <w:endnote w:type="continuationSeparator" w:id="0">
    <w:p w:rsidR="00442E9C" w:rsidRDefault="00442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ADC" w:rsidRPr="00615B24" w:rsidRDefault="00166AE1">
    <w:pPr>
      <w:pStyle w:val="Stopka"/>
      <w:jc w:val="center"/>
      <w:rPr>
        <w:rFonts w:ascii="Tahoma" w:hAnsi="Tahoma" w:cs="Tahoma"/>
      </w:rPr>
    </w:pPr>
    <w:r w:rsidRPr="00615B24">
      <w:rPr>
        <w:rFonts w:ascii="Tahoma" w:hAnsi="Tahoma" w:cs="Tahoma"/>
        <w:sz w:val="16"/>
      </w:rPr>
      <w:t xml:space="preserve">Strona </w:t>
    </w:r>
    <w:r w:rsidRPr="00615B24">
      <w:rPr>
        <w:rFonts w:ascii="Tahoma" w:hAnsi="Tahoma" w:cs="Tahoma"/>
        <w:sz w:val="16"/>
      </w:rPr>
      <w:fldChar w:fldCharType="begin"/>
    </w:r>
    <w:r w:rsidRPr="00615B24">
      <w:rPr>
        <w:rFonts w:ascii="Tahoma" w:hAnsi="Tahoma" w:cs="Tahoma"/>
        <w:sz w:val="16"/>
      </w:rPr>
      <w:instrText>PAGE</w:instrText>
    </w:r>
    <w:r w:rsidRPr="00615B24">
      <w:rPr>
        <w:rFonts w:ascii="Tahoma" w:hAnsi="Tahoma" w:cs="Tahoma"/>
        <w:sz w:val="16"/>
      </w:rPr>
      <w:fldChar w:fldCharType="separate"/>
    </w:r>
    <w:r w:rsidR="00670664">
      <w:rPr>
        <w:rFonts w:ascii="Tahoma" w:hAnsi="Tahoma" w:cs="Tahoma"/>
        <w:noProof/>
        <w:sz w:val="16"/>
      </w:rPr>
      <w:t>6</w:t>
    </w:r>
    <w:r w:rsidRPr="00615B24">
      <w:rPr>
        <w:rFonts w:ascii="Tahoma" w:hAnsi="Tahoma" w:cs="Tahoma"/>
        <w:sz w:val="16"/>
      </w:rPr>
      <w:fldChar w:fldCharType="end"/>
    </w:r>
    <w:r w:rsidRPr="00615B24">
      <w:rPr>
        <w:rFonts w:ascii="Tahoma" w:hAnsi="Tahoma" w:cs="Tahoma"/>
        <w:sz w:val="16"/>
      </w:rPr>
      <w:t xml:space="preserve"> z </w:t>
    </w:r>
    <w:r w:rsidRPr="00615B24">
      <w:rPr>
        <w:rFonts w:ascii="Tahoma" w:hAnsi="Tahoma" w:cs="Tahoma"/>
        <w:sz w:val="16"/>
      </w:rPr>
      <w:fldChar w:fldCharType="begin"/>
    </w:r>
    <w:r w:rsidRPr="00615B24">
      <w:rPr>
        <w:rFonts w:ascii="Tahoma" w:hAnsi="Tahoma" w:cs="Tahoma"/>
        <w:sz w:val="16"/>
      </w:rPr>
      <w:instrText>NUMPAGES</w:instrText>
    </w:r>
    <w:r w:rsidRPr="00615B24">
      <w:rPr>
        <w:rFonts w:ascii="Tahoma" w:hAnsi="Tahoma" w:cs="Tahoma"/>
        <w:sz w:val="16"/>
      </w:rPr>
      <w:fldChar w:fldCharType="separate"/>
    </w:r>
    <w:r w:rsidR="00670664">
      <w:rPr>
        <w:rFonts w:ascii="Tahoma" w:hAnsi="Tahoma" w:cs="Tahoma"/>
        <w:noProof/>
        <w:sz w:val="16"/>
      </w:rPr>
      <w:t>15</w:t>
    </w:r>
    <w:r w:rsidRPr="00615B24">
      <w:rPr>
        <w:rFonts w:ascii="Tahoma" w:hAnsi="Tahoma"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E9C" w:rsidRDefault="00442E9C">
      <w:pPr>
        <w:spacing w:after="0" w:line="240" w:lineRule="auto"/>
      </w:pPr>
      <w:r>
        <w:separator/>
      </w:r>
    </w:p>
  </w:footnote>
  <w:footnote w:type="continuationSeparator" w:id="0">
    <w:p w:rsidR="00442E9C" w:rsidRDefault="00442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63F" w:rsidRDefault="0062663F">
    <w:pPr>
      <w:pStyle w:val="Nagwek"/>
      <w:jc w:val="right"/>
      <w:rPr>
        <w:sz w:val="16"/>
      </w:rPr>
    </w:pPr>
  </w:p>
  <w:p w:rsidR="0062663F" w:rsidRDefault="0062663F">
    <w:pPr>
      <w:pStyle w:val="Nagwek"/>
      <w:jc w:val="right"/>
      <w:rPr>
        <w:sz w:val="16"/>
      </w:rPr>
    </w:pPr>
  </w:p>
  <w:p w:rsidR="0062663F" w:rsidRDefault="0062663F">
    <w:pPr>
      <w:pStyle w:val="Nagwek"/>
      <w:jc w:val="right"/>
      <w:rPr>
        <w:sz w:val="16"/>
      </w:rPr>
    </w:pPr>
  </w:p>
  <w:p w:rsidR="00AD5F2E" w:rsidRDefault="00AD5F2E" w:rsidP="00AD5F2E">
    <w:pPr>
      <w:pStyle w:val="Nagwek"/>
      <w:tabs>
        <w:tab w:val="left" w:pos="0"/>
      </w:tabs>
      <w:rPr>
        <w:sz w:val="16"/>
      </w:rPr>
    </w:pPr>
    <w:r w:rsidRPr="00AD5F2E">
      <w:rPr>
        <w:rFonts w:ascii="Tahoma" w:hAnsi="Tahoma" w:cs="Tahoma"/>
        <w:b/>
        <w:sz w:val="20"/>
        <w:szCs w:val="20"/>
        <w:lang w:val="pl-PL"/>
      </w:rPr>
      <w:t>Nr sprawy: ZP.271.1</w:t>
    </w:r>
    <w:r w:rsidR="00122383">
      <w:rPr>
        <w:rFonts w:ascii="Tahoma" w:hAnsi="Tahoma" w:cs="Tahoma"/>
        <w:b/>
        <w:sz w:val="20"/>
        <w:szCs w:val="20"/>
        <w:lang w:val="pl-PL"/>
      </w:rPr>
      <w:t>3</w:t>
    </w:r>
    <w:r w:rsidRPr="00AD5F2E">
      <w:rPr>
        <w:rFonts w:ascii="Tahoma" w:hAnsi="Tahoma" w:cs="Tahoma"/>
        <w:b/>
        <w:sz w:val="20"/>
        <w:szCs w:val="20"/>
        <w:lang w:val="pl-PL"/>
      </w:rPr>
      <w:t>.2026</w:t>
    </w:r>
  </w:p>
  <w:p w:rsidR="00AD5F2E" w:rsidRDefault="00AD5F2E">
    <w:pPr>
      <w:pStyle w:val="Nagwek"/>
      <w:jc w:val="right"/>
      <w:rPr>
        <w:sz w:val="16"/>
      </w:rPr>
    </w:pPr>
  </w:p>
  <w:p w:rsidR="0062663F" w:rsidRDefault="0062663F">
    <w:pPr>
      <w:pStyle w:val="Nagwek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196471"/>
    <w:multiLevelType w:val="multilevel"/>
    <w:tmpl w:val="EC4A98CE"/>
    <w:lvl w:ilvl="0">
      <w:start w:val="2"/>
      <w:numFmt w:val="lowerLetter"/>
      <w:lvlText w:val="%1)"/>
      <w:lvlJc w:val="left"/>
      <w:pPr>
        <w:ind w:left="501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788" w:hanging="7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4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8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7783BDA"/>
    <w:multiLevelType w:val="hybridMultilevel"/>
    <w:tmpl w:val="99F27FE8"/>
    <w:lvl w:ilvl="0" w:tplc="883841E6">
      <w:start w:val="1"/>
      <w:numFmt w:val="decimal"/>
      <w:lvlText w:val="%1)"/>
      <w:lvlJc w:val="left"/>
      <w:pPr>
        <w:ind w:left="732" w:hanging="372"/>
      </w:pPr>
      <w:rPr>
        <w:rFonts w:ascii="Tahoma" w:hAnsi="Tahoma" w:cs="Tahom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802B0"/>
    <w:multiLevelType w:val="multilevel"/>
    <w:tmpl w:val="6FA2FC7C"/>
    <w:lvl w:ilvl="0">
      <w:start w:val="2"/>
      <w:numFmt w:val="lowerLetter"/>
      <w:lvlText w:val="%1)"/>
      <w:lvlJc w:val="left"/>
      <w:pPr>
        <w:ind w:left="501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788" w:hanging="7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B062459"/>
    <w:multiLevelType w:val="hybridMultilevel"/>
    <w:tmpl w:val="2514C64E"/>
    <w:lvl w:ilvl="0" w:tplc="73422290">
      <w:start w:val="22"/>
      <w:numFmt w:val="decimal"/>
      <w:lvlText w:val="%1."/>
      <w:lvlJc w:val="left"/>
      <w:pPr>
        <w:ind w:left="644" w:hanging="360"/>
      </w:pPr>
      <w:rPr>
        <w:rFonts w:ascii="Tahoma" w:eastAsia="Times New Roman" w:hAnsi="Tahoma" w:cs="Tahoma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32CE8"/>
    <w:multiLevelType w:val="hybridMultilevel"/>
    <w:tmpl w:val="F72C1B12"/>
    <w:lvl w:ilvl="0" w:tplc="338A8C3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F22226C"/>
    <w:multiLevelType w:val="multilevel"/>
    <w:tmpl w:val="FCF028D6"/>
    <w:lvl w:ilvl="0">
      <w:start w:val="1"/>
      <w:numFmt w:val="lowerLetter"/>
      <w:lvlText w:val="%1)"/>
      <w:lvlJc w:val="left"/>
      <w:pPr>
        <w:ind w:left="501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788" w:hanging="7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FAB1451"/>
    <w:multiLevelType w:val="hybridMultilevel"/>
    <w:tmpl w:val="B5FC1D04"/>
    <w:lvl w:ilvl="0" w:tplc="9A067A00">
      <w:start w:val="1"/>
      <w:numFmt w:val="decimal"/>
      <w:lvlText w:val="%1."/>
      <w:lvlJc w:val="left"/>
      <w:pPr>
        <w:ind w:left="4188" w:hanging="360"/>
      </w:pPr>
      <w:rPr>
        <w:strike w:val="0"/>
        <w:color w:val="auto"/>
      </w:rPr>
    </w:lvl>
    <w:lvl w:ilvl="1" w:tplc="4D1CA15C">
      <w:start w:val="1"/>
      <w:numFmt w:val="lowerLetter"/>
      <w:lvlText w:val="%2)"/>
      <w:lvlJc w:val="left"/>
      <w:pPr>
        <w:ind w:left="1440" w:hanging="360"/>
      </w:pPr>
      <w:rPr>
        <w:rFonts w:ascii="Tahoma" w:eastAsia="Calibri" w:hAnsi="Tahoma" w:cs="Tahoma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72857"/>
    <w:multiLevelType w:val="hybridMultilevel"/>
    <w:tmpl w:val="7A66098C"/>
    <w:lvl w:ilvl="0" w:tplc="5A782A06">
      <w:start w:val="17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946EB"/>
    <w:multiLevelType w:val="multilevel"/>
    <w:tmpl w:val="5272384A"/>
    <w:lvl w:ilvl="0">
      <w:start w:val="2"/>
      <w:numFmt w:val="lowerLetter"/>
      <w:lvlText w:val="%1)"/>
      <w:lvlJc w:val="left"/>
      <w:pPr>
        <w:ind w:left="501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788" w:hanging="7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7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3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6C56DDF"/>
    <w:multiLevelType w:val="hybridMultilevel"/>
    <w:tmpl w:val="E0A48794"/>
    <w:lvl w:ilvl="0" w:tplc="00ECAE7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25B5D"/>
    <w:multiLevelType w:val="hybridMultilevel"/>
    <w:tmpl w:val="84D8B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7F0165"/>
    <w:multiLevelType w:val="hybridMultilevel"/>
    <w:tmpl w:val="6CFEA3A2"/>
    <w:lvl w:ilvl="0" w:tplc="F8E6264E">
      <w:start w:val="16"/>
      <w:numFmt w:val="decimal"/>
      <w:lvlText w:val="%1."/>
      <w:lvlJc w:val="left"/>
      <w:pPr>
        <w:ind w:left="644" w:hanging="360"/>
      </w:pPr>
      <w:rPr>
        <w:rFonts w:ascii="Tahoma" w:eastAsia="Times New Roman" w:hAnsi="Tahoma" w:cs="Tahoma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75FB7"/>
    <w:multiLevelType w:val="multilevel"/>
    <w:tmpl w:val="884C73B8"/>
    <w:lvl w:ilvl="0">
      <w:start w:val="6"/>
      <w:numFmt w:val="decimal"/>
      <w:lvlText w:val="%1."/>
      <w:lvlJc w:val="left"/>
      <w:pPr>
        <w:ind w:left="501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788" w:hanging="7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18"/>
  </w:num>
  <w:num w:numId="12">
    <w:abstractNumId w:val="15"/>
  </w:num>
  <w:num w:numId="13">
    <w:abstractNumId w:val="2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0"/>
  </w:num>
  <w:num w:numId="17">
    <w:abstractNumId w:val="14"/>
  </w:num>
  <w:num w:numId="18">
    <w:abstractNumId w:val="11"/>
  </w:num>
  <w:num w:numId="19">
    <w:abstractNumId w:val="17"/>
  </w:num>
  <w:num w:numId="20">
    <w:abstractNumId w:val="9"/>
  </w:num>
  <w:num w:numId="21">
    <w:abstractNumId w:val="12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624C3"/>
    <w:rsid w:val="00066EB1"/>
    <w:rsid w:val="000F2C43"/>
    <w:rsid w:val="00122383"/>
    <w:rsid w:val="0015074B"/>
    <w:rsid w:val="00166AE1"/>
    <w:rsid w:val="00233176"/>
    <w:rsid w:val="0029639D"/>
    <w:rsid w:val="002F6712"/>
    <w:rsid w:val="00326F90"/>
    <w:rsid w:val="00385B02"/>
    <w:rsid w:val="003E0D04"/>
    <w:rsid w:val="00442E9C"/>
    <w:rsid w:val="00577EC9"/>
    <w:rsid w:val="005A44AA"/>
    <w:rsid w:val="005C33C5"/>
    <w:rsid w:val="005C4F3F"/>
    <w:rsid w:val="00615B24"/>
    <w:rsid w:val="0062663F"/>
    <w:rsid w:val="00670664"/>
    <w:rsid w:val="00737449"/>
    <w:rsid w:val="008028A1"/>
    <w:rsid w:val="0083594D"/>
    <w:rsid w:val="00900C04"/>
    <w:rsid w:val="00966ADC"/>
    <w:rsid w:val="00A22266"/>
    <w:rsid w:val="00AA1D8D"/>
    <w:rsid w:val="00AA6525"/>
    <w:rsid w:val="00AD5F2E"/>
    <w:rsid w:val="00B47730"/>
    <w:rsid w:val="00CB0664"/>
    <w:rsid w:val="00DD664D"/>
    <w:rsid w:val="00E75E61"/>
    <w:rsid w:val="00E80B4F"/>
    <w:rsid w:val="00ED581E"/>
    <w:rsid w:val="00F327C4"/>
    <w:rsid w:val="00F64BA6"/>
    <w:rsid w:val="00FB6AC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  <w15:docId w15:val="{2E67380C-33EB-4B93-A8C1-A05E1477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pPr>
      <w:spacing w:after="40" w:line="259" w:lineRule="auto"/>
    </w:pPr>
    <w:rPr>
      <w:rFonts w:ascii="Times New Roman" w:eastAsia="Times New Roman" w:hAnsi="Times New Roman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3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2F6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97310806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40EB64-F5CA-4F9E-84E8-341A4172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15</Pages>
  <Words>5648</Words>
  <Characters>33890</Characters>
  <Application>Microsoft Office Word</Application>
  <DocSecurity>0</DocSecurity>
  <Lines>282</Lines>
  <Paragraphs>78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umowy – materiały promocyjne Gmina Lubrza</vt:lpstr>
      <vt:lpstr/>
    </vt:vector>
  </TitlesOfParts>
  <Manager/>
  <Company/>
  <LinksUpToDate>false</LinksUpToDate>
  <CharactersWithSpaces>39460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materiały promocyjne Gmina Lubrza</dc:title>
  <dc:subject>Projektowane postanowienia umowy do postępowania przetargowego</dc:subject>
  <dc:creator>Gmina Lubrza</dc:creator>
  <cp:keywords>zamówienie publiczne, umowa, promocja turystyczna, Gmina Lubrza, Interreg</cp:keywords>
  <dc:description>generated by python-docx</dc:description>
  <cp:lastModifiedBy>Konto Microsoft</cp:lastModifiedBy>
  <cp:revision>21</cp:revision>
  <dcterms:created xsi:type="dcterms:W3CDTF">2013-12-23T23:15:00Z</dcterms:created>
  <dcterms:modified xsi:type="dcterms:W3CDTF">2026-07-31T16:49:00Z</dcterms:modified>
  <cp:category/>
</cp:coreProperties>
</file>